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Lerner Neil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COMPASS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GUEST STREET, SUITE 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Compass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CMPX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933"/>
        <w:gridCol w:w="456"/>
        <w:gridCol w:w="671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0.92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62,500 of the shares represents unvested restricted stock units ("RSU") granted on January 2, 2026. Each RSU represents a contingent right to receive one share of common stock. The award is subject to service-based vesting conditions and vests in four equal annual installments, with the first installment vested on January 2,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Neil Lerner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5148" TargetMode="External"/><Relationship Id="rId5" Type="http://schemas.openxmlformats.org/officeDocument/2006/relationships/hyperlink" Target="http://www.sec.gov/cgi-bin/browse-edgar?action=getcompany&amp;CIK=00017380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3370</Characters>
  <CharactersWithSpaces>3921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