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mpx20260630_10q.htm"/>
      <w:bookmarkStart w:id="1" w:name="kscmpx20260630_10q"/>
      <w:bookmarkEnd w:id="0"/>
      <w:bookmarkEnd w:id="1"/>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_________________ to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001-39696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COMPASS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82-4876496</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80 Guest St., Suite 601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Boston, Massachusetts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02135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 500-8099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3605"/>
        <w:gridCol w:w="60"/>
        <w:gridCol w:w="860"/>
        <w:gridCol w:w="60"/>
        <w:gridCol w:w="36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bottom w:val="single" w:sz="2" w:space="0" w:color="000000"/>
            </w:tcBorders>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bottom w:val="single" w:sz="2" w:space="0" w:color="000000"/>
            </w:tcBorders>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CMPX</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20"/>
        <w:gridCol w:w="60"/>
        <w:gridCol w:w="230"/>
        <w:gridCol w:w="60"/>
        <w:gridCol w:w="2225"/>
        <w:gridCol w:w="60"/>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of July 28, 2026, the registrant had 180,087,915 shares of common stock, $0.0001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785"/>
        <w:gridCol w:w="7280"/>
        <w:gridCol w:w="440"/>
      </w:tblGrid>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140" w:right="0" w:hanging="0"/>
              <w:jc w:val="lef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5" w:type="dxa"/>
            <w:tcBorders/>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rPr>
                <w:t>PART I.</w:t>
              </w:r>
            </w:hyperlink>
          </w:p>
        </w:tc>
        <w:tc>
          <w:tcPr>
            <w:tcW w:w="7280" w:type="dxa"/>
            <w:tcBorders/>
            <w:vAlign w:val="center"/>
          </w:tcPr>
          <w:p>
            <w:pPr>
              <w:pStyle w:val="TableContents"/>
              <w:bidi w:val="0"/>
              <w:spacing w:before="0" w:after="0"/>
              <w:ind w:left="0" w:right="0" w:hanging="0"/>
              <w:jc w:val="left"/>
              <w:rPr/>
            </w:pPr>
            <w:hyperlink w:anchor="p1">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283"/>
              <w:jc w:val="right"/>
              <w:rPr/>
            </w:pPr>
            <w:hyperlink w:anchor="p1">
              <w:r>
                <w:rPr>
                  <w:rStyle w:val="InternetLink"/>
                </w:rPr>
                <w:t>1</w:t>
              </w:r>
            </w:hyperlink>
          </w:p>
        </w:tc>
      </w:tr>
      <w:tr>
        <w:trPr/>
        <w:tc>
          <w:tcPr>
            <w:tcW w:w="785" w:type="dxa"/>
            <w:tcBorders/>
            <w:vAlign w:val="center"/>
          </w:tcPr>
          <w:p>
            <w:pPr>
              <w:pStyle w:val="TableContents"/>
              <w:bidi w:val="0"/>
              <w:spacing w:before="0" w:after="0"/>
              <w:ind w:left="0" w:right="0" w:hanging="0"/>
              <w:jc w:val="left"/>
              <w:rPr/>
            </w:pPr>
            <w:hyperlink w:anchor="p1i1">
              <w:r>
                <w:rPr>
                  <w:rStyle w:val="InternetLink"/>
                  <w:rFonts w:ascii="Times New Roman" w:hAnsi="Times New Roman"/>
                  <w:caps w:val="false"/>
                  <w:smallCaps w:val="false"/>
                  <w:sz w:val="20"/>
                </w:rPr>
                <w:t>Item 1.</w:t>
              </w:r>
            </w:hyperlink>
          </w:p>
        </w:tc>
        <w:tc>
          <w:tcPr>
            <w:tcW w:w="7280" w:type="dxa"/>
            <w:tcBorders/>
            <w:vAlign w:val="center"/>
          </w:tcPr>
          <w:p>
            <w:pPr>
              <w:pStyle w:val="TableContents"/>
              <w:bidi w:val="0"/>
              <w:spacing w:before="0" w:after="0"/>
              <w:ind w:left="0" w:right="0" w:hanging="0"/>
              <w:jc w:val="left"/>
              <w:rPr/>
            </w:pPr>
            <w:hyperlink w:anchor="p1i1">
              <w:r>
                <w:rPr>
                  <w:rStyle w:val="InternetLink"/>
                  <w:rFonts w:ascii="Times New Roman" w:hAnsi="Times New Roman"/>
                  <w:caps w:val="false"/>
                  <w:smallCaps w:val="false"/>
                  <w:sz w:val="20"/>
                </w:rPr>
                <w:t>Financial Statements (Unaudited)</w:t>
              </w:r>
            </w:hyperlink>
          </w:p>
        </w:tc>
        <w:tc>
          <w:tcPr>
            <w:tcW w:w="440" w:type="dxa"/>
            <w:tcBorders/>
            <w:vAlign w:val="center"/>
          </w:tcPr>
          <w:p>
            <w:pPr>
              <w:pStyle w:val="TableContents"/>
              <w:bidi w:val="0"/>
              <w:spacing w:before="0" w:after="283"/>
              <w:jc w:val="right"/>
              <w:rPr/>
            </w:pPr>
            <w:hyperlink w:anchor="p1i1">
              <w:r>
                <w:rPr>
                  <w:rStyle w:val="InternetLink"/>
                </w:rPr>
                <w:t>1</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 (Unaudited)</w:t>
              </w:r>
            </w:hyperlink>
          </w:p>
        </w:tc>
        <w:tc>
          <w:tcPr>
            <w:tcW w:w="440" w:type="dxa"/>
            <w:tcBorders/>
            <w:vAlign w:val="center"/>
          </w:tcPr>
          <w:p>
            <w:pPr>
              <w:pStyle w:val="TableContents"/>
              <w:bidi w:val="0"/>
              <w:spacing w:before="0" w:after="283"/>
              <w:jc w:val="right"/>
              <w:rPr/>
            </w:pPr>
            <w:hyperlink w:anchor="bs">
              <w:r>
                <w:rPr>
                  <w:rStyle w:val="InternetLink"/>
                </w:rPr>
                <w:t>1</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l">
              <w:r>
                <w:rPr>
                  <w:rStyle w:val="InternetLink"/>
                  <w:rFonts w:ascii="Times New Roman" w:hAnsi="Times New Roman"/>
                  <w:caps w:val="false"/>
                  <w:smallCaps w:val="false"/>
                  <w:sz w:val="20"/>
                </w:rPr>
                <w:t>Condensed Consolidated Statements of Operations and Comprehensive Loss (Unaudited)</w:t>
              </w:r>
            </w:hyperlink>
          </w:p>
        </w:tc>
        <w:tc>
          <w:tcPr>
            <w:tcW w:w="440" w:type="dxa"/>
            <w:tcBorders/>
            <w:vAlign w:val="center"/>
          </w:tcPr>
          <w:p>
            <w:pPr>
              <w:pStyle w:val="TableContents"/>
              <w:bidi w:val="0"/>
              <w:spacing w:before="0" w:after="283"/>
              <w:jc w:val="right"/>
              <w:rPr/>
            </w:pPr>
            <w:hyperlink w:anchor="cl">
              <w:r>
                <w:rPr>
                  <w:rStyle w:val="InternetLink"/>
                </w:rPr>
                <w:t>2</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Stockholders’ Equity (Unaudited)</w:t>
              </w:r>
            </w:hyperlink>
          </w:p>
        </w:tc>
        <w:tc>
          <w:tcPr>
            <w:tcW w:w="440" w:type="dxa"/>
            <w:tcBorders/>
            <w:vAlign w:val="center"/>
          </w:tcPr>
          <w:p>
            <w:pPr>
              <w:pStyle w:val="TableContents"/>
              <w:bidi w:val="0"/>
              <w:spacing w:before="0" w:after="283"/>
              <w:jc w:val="right"/>
              <w:rPr/>
            </w:pPr>
            <w:hyperlink w:anchor="se">
              <w:r>
                <w:rPr>
                  <w:rStyle w:val="InternetLink"/>
                </w:rPr>
                <w:t>3</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 (Unaudited)</w:t>
              </w:r>
            </w:hyperlink>
          </w:p>
        </w:tc>
        <w:tc>
          <w:tcPr>
            <w:tcW w:w="440" w:type="dxa"/>
            <w:tcBorders/>
            <w:vAlign w:val="center"/>
          </w:tcPr>
          <w:p>
            <w:pPr>
              <w:pStyle w:val="TableContents"/>
              <w:bidi w:val="0"/>
              <w:spacing w:before="0" w:after="283"/>
              <w:jc w:val="right"/>
              <w:rPr/>
            </w:pPr>
            <w:hyperlink w:anchor="cf">
              <w:r>
                <w:rPr>
                  <w:rStyle w:val="InternetLink"/>
                </w:rPr>
                <w:t>4</w:t>
              </w:r>
            </w:hyperlink>
          </w:p>
        </w:tc>
      </w:tr>
      <w:tr>
        <w:trPr/>
        <w:tc>
          <w:tcPr>
            <w:tcW w:w="785" w:type="dxa"/>
            <w:tcBorders/>
            <w:vAlign w:val="center"/>
          </w:tcPr>
          <w:p>
            <w:pPr>
              <w:pStyle w:val="TableContents"/>
              <w:bidi w:val="0"/>
              <w:spacing w:before="0" w:after="0"/>
              <w:ind w:left="14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283"/>
              <w:jc w:val="right"/>
              <w:rPr/>
            </w:pPr>
            <w:hyperlink w:anchor="notes">
              <w:r>
                <w:rPr>
                  <w:rStyle w:val="InternetLink"/>
                </w:rPr>
                <w:t>5</w:t>
              </w:r>
            </w:hyperlink>
          </w:p>
        </w:tc>
      </w:tr>
      <w:tr>
        <w:trPr/>
        <w:tc>
          <w:tcPr>
            <w:tcW w:w="785"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Item 2.</w:t>
              </w:r>
            </w:hyperlink>
          </w:p>
        </w:tc>
        <w:tc>
          <w:tcPr>
            <w:tcW w:w="7280"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283"/>
              <w:jc w:val="right"/>
              <w:rPr/>
            </w:pPr>
            <w:hyperlink w:anchor="p1i2">
              <w:r>
                <w:rPr>
                  <w:rStyle w:val="InternetLink"/>
                </w:rPr>
                <w:t>13</w:t>
              </w:r>
            </w:hyperlink>
          </w:p>
        </w:tc>
      </w:tr>
      <w:tr>
        <w:trPr/>
        <w:tc>
          <w:tcPr>
            <w:tcW w:w="785"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Item 3.</w:t>
              </w:r>
            </w:hyperlink>
          </w:p>
        </w:tc>
        <w:tc>
          <w:tcPr>
            <w:tcW w:w="7280"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283"/>
              <w:jc w:val="right"/>
              <w:rPr/>
            </w:pPr>
            <w:hyperlink w:anchor="p1i3">
              <w:r>
                <w:rPr>
                  <w:rStyle w:val="InternetLink"/>
                </w:rPr>
                <w:t>22</w:t>
              </w:r>
            </w:hyperlink>
          </w:p>
        </w:tc>
      </w:tr>
      <w:tr>
        <w:trPr/>
        <w:tc>
          <w:tcPr>
            <w:tcW w:w="785"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Item 4.</w:t>
              </w:r>
            </w:hyperlink>
          </w:p>
        </w:tc>
        <w:tc>
          <w:tcPr>
            <w:tcW w:w="7280"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283"/>
              <w:jc w:val="right"/>
              <w:rPr/>
            </w:pPr>
            <w:hyperlink w:anchor="p1i4">
              <w:r>
                <w:rPr>
                  <w:rStyle w:val="InternetLink"/>
                </w:rPr>
                <w:t>22</w:t>
              </w:r>
            </w:hyperlink>
          </w:p>
        </w:tc>
      </w:tr>
      <w:tr>
        <w:trPr/>
        <w:tc>
          <w:tcPr>
            <w:tcW w:w="785" w:type="dxa"/>
            <w:tcBorders/>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rPr>
                <w:t>PART II.</w:t>
              </w:r>
            </w:hyperlink>
          </w:p>
        </w:tc>
        <w:tc>
          <w:tcPr>
            <w:tcW w:w="7280" w:type="dxa"/>
            <w:tcBorders/>
            <w:vAlign w:val="center"/>
          </w:tcPr>
          <w:p>
            <w:pPr>
              <w:pStyle w:val="TableContents"/>
              <w:bidi w:val="0"/>
              <w:spacing w:before="0" w:after="0"/>
              <w:ind w:left="0" w:right="0" w:hanging="0"/>
              <w:jc w:val="left"/>
              <w:rPr/>
            </w:pPr>
            <w:hyperlink w:anchor="p2">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283"/>
              <w:jc w:val="right"/>
              <w:rPr/>
            </w:pPr>
            <w:hyperlink w:anchor="p2">
              <w:r>
                <w:rPr>
                  <w:rStyle w:val="InternetLink"/>
                </w:rPr>
                <w:t>23</w:t>
              </w:r>
            </w:hyperlink>
          </w:p>
        </w:tc>
      </w:tr>
      <w:tr>
        <w:trPr/>
        <w:tc>
          <w:tcPr>
            <w:tcW w:w="785"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w:t>
              </w:r>
            </w:hyperlink>
          </w:p>
        </w:tc>
        <w:tc>
          <w:tcPr>
            <w:tcW w:w="7280"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283"/>
              <w:jc w:val="right"/>
              <w:rPr/>
            </w:pPr>
            <w:hyperlink w:anchor="p2i1">
              <w:r>
                <w:rPr>
                  <w:rStyle w:val="InternetLink"/>
                </w:rPr>
                <w:t>23</w:t>
              </w:r>
            </w:hyperlink>
          </w:p>
        </w:tc>
      </w:tr>
      <w:tr>
        <w:trPr/>
        <w:tc>
          <w:tcPr>
            <w:tcW w:w="785"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 1A.</w:t>
              </w:r>
            </w:hyperlink>
          </w:p>
        </w:tc>
        <w:tc>
          <w:tcPr>
            <w:tcW w:w="7280"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283"/>
              <w:jc w:val="right"/>
              <w:rPr/>
            </w:pPr>
            <w:hyperlink w:anchor="p2i1a">
              <w:r>
                <w:rPr>
                  <w:rStyle w:val="InternetLink"/>
                </w:rPr>
                <w:t>23</w:t>
              </w:r>
            </w:hyperlink>
          </w:p>
        </w:tc>
      </w:tr>
      <w:tr>
        <w:trPr/>
        <w:tc>
          <w:tcPr>
            <w:tcW w:w="785"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w:t>
              </w:r>
            </w:hyperlink>
          </w:p>
        </w:tc>
        <w:tc>
          <w:tcPr>
            <w:tcW w:w="7280"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283"/>
              <w:jc w:val="right"/>
              <w:rPr/>
            </w:pPr>
            <w:hyperlink w:anchor="p2i2">
              <w:r>
                <w:rPr>
                  <w:rStyle w:val="InternetLink"/>
                </w:rPr>
                <w:t>24</w:t>
              </w:r>
            </w:hyperlink>
          </w:p>
        </w:tc>
      </w:tr>
      <w:tr>
        <w:trPr/>
        <w:tc>
          <w:tcPr>
            <w:tcW w:w="785"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w:t>
              </w:r>
            </w:hyperlink>
          </w:p>
        </w:tc>
        <w:tc>
          <w:tcPr>
            <w:tcW w:w="7280"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283"/>
              <w:jc w:val="right"/>
              <w:rPr/>
            </w:pPr>
            <w:hyperlink w:anchor="p2i3">
              <w:r>
                <w:rPr>
                  <w:rStyle w:val="InternetLink"/>
                </w:rPr>
                <w:t>24</w:t>
              </w:r>
            </w:hyperlink>
          </w:p>
        </w:tc>
      </w:tr>
      <w:tr>
        <w:trPr/>
        <w:tc>
          <w:tcPr>
            <w:tcW w:w="785"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w:t>
              </w:r>
            </w:hyperlink>
          </w:p>
        </w:tc>
        <w:tc>
          <w:tcPr>
            <w:tcW w:w="7280"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283"/>
              <w:jc w:val="right"/>
              <w:rPr/>
            </w:pPr>
            <w:hyperlink w:anchor="p2i4">
              <w:r>
                <w:rPr>
                  <w:rStyle w:val="InternetLink"/>
                </w:rPr>
                <w:t>24</w:t>
              </w:r>
            </w:hyperlink>
          </w:p>
        </w:tc>
      </w:tr>
      <w:tr>
        <w:trPr/>
        <w:tc>
          <w:tcPr>
            <w:tcW w:w="785"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w:t>
              </w:r>
            </w:hyperlink>
          </w:p>
        </w:tc>
        <w:tc>
          <w:tcPr>
            <w:tcW w:w="7280"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283"/>
              <w:jc w:val="right"/>
              <w:rPr/>
            </w:pPr>
            <w:hyperlink w:anchor="p2i5">
              <w:r>
                <w:rPr>
                  <w:rStyle w:val="InternetLink"/>
                </w:rPr>
                <w:t>24</w:t>
              </w:r>
            </w:hyperlink>
          </w:p>
        </w:tc>
      </w:tr>
      <w:tr>
        <w:trPr/>
        <w:tc>
          <w:tcPr>
            <w:tcW w:w="785"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w:t>
              </w:r>
            </w:hyperlink>
          </w:p>
        </w:tc>
        <w:tc>
          <w:tcPr>
            <w:tcW w:w="7280"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283"/>
              <w:jc w:val="right"/>
              <w:rPr/>
            </w:pPr>
            <w:hyperlink w:anchor="p2i6">
              <w:r>
                <w:rPr>
                  <w:rStyle w:val="InternetLink"/>
                </w:rPr>
                <w:t>25</w:t>
              </w:r>
            </w:hyperlink>
          </w:p>
        </w:tc>
      </w:tr>
      <w:tr>
        <w:trPr/>
        <w:tc>
          <w:tcPr>
            <w:tcW w:w="78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r>
      <w:tr>
        <w:trPr/>
        <w:tc>
          <w:tcPr>
            <w:tcW w:w="78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sign">
              <w:r>
                <w:rPr>
                  <w:rStyle w:val="InternetLink"/>
                </w:rPr>
                <w:t>Signatures</w:t>
              </w:r>
            </w:hyperlink>
          </w:p>
        </w:tc>
        <w:tc>
          <w:tcPr>
            <w:tcW w:w="440" w:type="dxa"/>
            <w:tcBorders/>
            <w:vAlign w:val="center"/>
          </w:tcPr>
          <w:p>
            <w:pPr>
              <w:pStyle w:val="TableContents"/>
              <w:bidi w:val="0"/>
              <w:spacing w:before="0" w:after="283"/>
              <w:jc w:val="right"/>
              <w:rPr/>
            </w:pPr>
            <w:hyperlink w:anchor="sign">
              <w:r>
                <w:rPr>
                  <w:rStyle w:val="InternetLink"/>
                </w:rPr>
                <w:t>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 w:name="p1"/>
      <w:bookmarkEnd w:id="2"/>
      <w:r>
        <w:rPr>
          <w:rFonts w:ascii="Times New Roman" w:hAnsi="Times New Roman"/>
          <w:b/>
          <w:caps w:val="false"/>
          <w:smallCaps w:val="false"/>
          <w:sz w:val="20"/>
        </w:rPr>
        <w:t>PART I</w:t>
      </w:r>
      <w:r>
        <w:rPr>
          <w:rFonts w:ascii="Times New Roman" w:hAnsi="Times New Roman"/>
          <w:caps w:val="false"/>
          <w:smallCaps w:val="false"/>
          <w:sz w:val="20"/>
        </w:rPr>
        <w:t>—</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bookmarkStart w:id="3" w:name="p1i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Compass Therapeutics, Inc. and Subsidiaries</w:t>
      </w:r>
      <w:bookmarkStart w:id="4" w:name="bs"/>
      <w:bookmarkEnd w:id="4"/>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par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6"/>
        <w:gridCol w:w="60"/>
        <w:gridCol w:w="134"/>
        <w:gridCol w:w="817"/>
        <w:gridCol w:w="80"/>
        <w:gridCol w:w="60"/>
        <w:gridCol w:w="146"/>
        <w:gridCol w:w="890"/>
        <w:gridCol w:w="82"/>
      </w:tblGrid>
      <w:tr>
        <w:trPr/>
        <w:tc>
          <w:tcPr>
            <w:tcW w:w="79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br/>
              <w:t xml:space="preserve">2026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br/>
              <w:t xml:space="preserve">2025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(Note 1)</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30,643</w:t>
            </w:r>
          </w:p>
        </w:tc>
        <w:tc>
          <w:tcPr>
            <w:tcW w:w="82" w:type="dxa"/>
            <w:tcBorders/>
            <w:shd w:fill="CCEEFF" w:val="cle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178,263</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209,819</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2" w:type="dxa"/>
            <w:tcBorders/>
            <w:shd w:fill="CCEEFF" w:val="cle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("ROU") asset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9,099</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219,588</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w:t>
            </w:r>
          </w:p>
        </w:tc>
        <w:tc>
          <w:tcPr>
            <w:tcW w:w="82" w:type="dxa"/>
            <w:tcBorders/>
            <w:shd w:fill="CCEEFF" w:val="cle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current portion</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13,968</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long-term portion</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7)</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300,000 shares authorized; 180,088 and 178,324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2" w:type="dxa"/>
            <w:tcBorders/>
            <w:shd w:fill="CCEEFF" w:val="cle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paid-in-capital</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640,925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627,665</w:t>
            </w:r>
          </w:p>
        </w:tc>
        <w:tc>
          <w:tcPr>
            <w:tcW w:w="82" w:type="dxa"/>
            <w:tcBorders/>
            <w:shd w:fill="FFFFFF" w:val="clear"/>
            <w:vAlign w:val="center"/>
          </w:tcPr>
          <w:p>
            <w:pPr>
              <w:pStyle w:val="TableContents"/>
              <w:bidi w:val="0"/>
              <w:spacing w:before="0" w:after="283"/>
              <w:jc w:val="left"/>
              <w:rPr/>
            </w:pPr>
            <w:r>
              <w:rPr/>
              <w:t> </w:t>
            </w:r>
          </w:p>
        </w:tc>
      </w:tr>
      <w:tr>
        <w:trPr/>
        <w:tc>
          <w:tcPr>
            <w:tcW w:w="7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2" w:type="dxa"/>
            <w:tcBorders/>
            <w:shd w:fill="CCEEFF" w:val="cle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(474,643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(431,172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196,791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219,588</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Compass Therapeutics, Inc. and Subsidiaries</w:t>
      </w:r>
      <w:bookmarkStart w:id="5" w:name="cl"/>
      <w:bookmarkEnd w:id="5"/>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8321" w:type="dxa"/>
        <w:jc w:val="left"/>
        <w:tblInd w:w="0" w:type="dxa"/>
        <w:tblLayout w:type="fixed"/>
        <w:tblCellMar>
          <w:top w:w="0" w:type="dxa"/>
          <w:left w:w="0" w:type="dxa"/>
          <w:bottom w:w="0" w:type="dxa"/>
          <w:right w:w="0" w:type="dxa"/>
        </w:tblCellMar>
      </w:tblPr>
      <w:tblGrid>
        <w:gridCol w:w="4475"/>
        <w:gridCol w:w="60"/>
        <w:gridCol w:w="125"/>
        <w:gridCol w:w="698"/>
        <w:gridCol w:w="80"/>
        <w:gridCol w:w="60"/>
        <w:gridCol w:w="125"/>
        <w:gridCol w:w="698"/>
        <w:gridCol w:w="80"/>
        <w:gridCol w:w="60"/>
        <w:gridCol w:w="125"/>
        <w:gridCol w:w="695"/>
        <w:gridCol w:w="80"/>
        <w:gridCol w:w="60"/>
        <w:gridCol w:w="125"/>
        <w:gridCol w:w="695"/>
        <w:gridCol w:w="8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b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186,798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gain on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Compass Therapeutics, Inc. and Subsidiaries</w:t>
      </w:r>
      <w:bookmarkStart w:id="6" w:name="se"/>
      <w:bookmarkEnd w:id="6"/>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5"/>
        <w:gridCol w:w="60"/>
        <w:gridCol w:w="61"/>
        <w:gridCol w:w="708"/>
        <w:gridCol w:w="61"/>
        <w:gridCol w:w="61"/>
        <w:gridCol w:w="225"/>
        <w:gridCol w:w="470"/>
        <w:gridCol w:w="60"/>
        <w:gridCol w:w="60"/>
        <w:gridCol w:w="140"/>
        <w:gridCol w:w="780"/>
        <w:gridCol w:w="80"/>
        <w:gridCol w:w="60"/>
        <w:gridCol w:w="530"/>
        <w:gridCol w:w="1677"/>
        <w:gridCol w:w="80"/>
        <w:gridCol w:w="60"/>
        <w:gridCol w:w="160"/>
        <w:gridCol w:w="970"/>
        <w:gridCol w:w="80"/>
        <w:gridCol w:w="60"/>
        <w:gridCol w:w="173"/>
        <w:gridCol w:w="971"/>
        <w:gridCol w:w="83"/>
      </w:tblGrid>
      <w:tr>
        <w:trPr/>
        <w:tc>
          <w:tcPr>
            <w:tcW w:w="2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Stockholders'</w:t>
            </w:r>
          </w:p>
        </w:tc>
        <w:tc>
          <w:tcPr>
            <w:tcW w:w="83" w:type="dxa"/>
            <w:tcBorders/>
            <w:vAlign w:val="center"/>
          </w:tcPr>
          <w:p>
            <w:pPr>
              <w:pStyle w:val="TableContents"/>
              <w:bidi w:val="0"/>
              <w:spacing w:before="0" w:after="283"/>
              <w:jc w:val="left"/>
              <w:rPr/>
            </w:pPr>
            <w:r>
              <w:rPr/>
              <w:t> </w:t>
            </w:r>
          </w:p>
        </w:tc>
      </w:tr>
      <w:tr>
        <w:trPr/>
        <w:tc>
          <w:tcPr>
            <w:tcW w:w="2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Income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Equity </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178,324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196,791</w:t>
            </w:r>
          </w:p>
        </w:tc>
        <w:tc>
          <w:tcPr>
            <w:tcW w:w="83" w:type="dxa"/>
            <w:tcBorders/>
            <w:shd w:fill="CCEEFF" w:val="clear"/>
            <w:vAlign w:val="center"/>
          </w:tcPr>
          <w:p>
            <w:pPr>
              <w:pStyle w:val="TableContents"/>
              <w:bidi w:val="0"/>
              <w:spacing w:before="0" w:after="283"/>
              <w:jc w:val="left"/>
              <w:rPr/>
            </w:pPr>
            <w:r>
              <w:rPr/>
              <w:t> </w:t>
            </w:r>
          </w:p>
        </w:tc>
      </w:tr>
      <w:tr>
        <w:trPr/>
        <w:tc>
          <w:tcPr>
            <w:tcW w:w="2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options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left"/>
              <w:rPr/>
            </w:pPr>
            <w:r>
              <w:rPr/>
              <w:t> </w:t>
            </w:r>
          </w:p>
        </w:tc>
        <w:tc>
          <w:tcPr>
            <w:tcW w:w="167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w:t>
            </w:r>
          </w:p>
        </w:tc>
        <w:tc>
          <w:tcPr>
            <w:tcW w:w="83" w:type="dxa"/>
            <w:tcBorders/>
            <w:shd w:fill="FFFFFF" w:val="clear"/>
            <w:vAlign w:val="center"/>
          </w:tcPr>
          <w:p>
            <w:pPr>
              <w:pStyle w:val="TableContents"/>
              <w:bidi w:val="0"/>
              <w:spacing w:before="0" w:after="283"/>
              <w:jc w:val="left"/>
              <w:rPr/>
            </w:pPr>
            <w:r>
              <w:rPr/>
              <w:t> </w:t>
            </w:r>
          </w:p>
        </w:tc>
      </w:tr>
      <w:tr>
        <w:trPr/>
        <w:tc>
          <w:tcPr>
            <w:tcW w:w="2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awards, net of tax remittance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0"/>
              <w:jc w:val="left"/>
              <w:rPr/>
            </w:pPr>
            <w:r>
              <w:rPr/>
              <w:t> </w:t>
            </w:r>
          </w:p>
        </w:tc>
        <w:tc>
          <w:tcPr>
            <w:tcW w:w="167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left"/>
              <w:rPr/>
            </w:pPr>
            <w:r>
              <w:rPr/>
              <w:t> </w:t>
            </w:r>
          </w:p>
        </w:tc>
        <w:tc>
          <w:tcPr>
            <w:tcW w:w="167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5,073</w:t>
            </w:r>
          </w:p>
        </w:tc>
        <w:tc>
          <w:tcPr>
            <w:tcW w:w="83" w:type="dxa"/>
            <w:tcBorders/>
            <w:shd w:fill="FFFFFF" w:val="clear"/>
            <w:vAlign w:val="center"/>
          </w:tcPr>
          <w:p>
            <w:pPr>
              <w:pStyle w:val="TableContents"/>
              <w:bidi w:val="0"/>
              <w:spacing w:before="0" w:after="283"/>
              <w:jc w:val="left"/>
              <w:rPr/>
            </w:pPr>
            <w:r>
              <w:rPr/>
              <w:t> </w:t>
            </w:r>
          </w:p>
        </w:tc>
      </w:tr>
      <w:tr>
        <w:trPr/>
        <w:tc>
          <w:tcPr>
            <w:tcW w:w="2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0"/>
              <w:jc w:val="left"/>
              <w:rPr/>
            </w:pPr>
            <w:r>
              <w:rPr/>
              <w:t> </w:t>
            </w:r>
          </w:p>
        </w:tc>
        <w:tc>
          <w:tcPr>
            <w:tcW w:w="1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(18,317</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180,088</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636,103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(449,489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186,473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left"/>
              <w:rPr/>
            </w:pPr>
            <w:r>
              <w:rPr/>
              <w:t> </w:t>
            </w:r>
          </w:p>
        </w:tc>
        <w:tc>
          <w:tcPr>
            <w:tcW w:w="167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w:t>
            </w:r>
          </w:p>
        </w:tc>
        <w:tc>
          <w:tcPr>
            <w:tcW w:w="83" w:type="dxa"/>
            <w:tcBorders/>
            <w:shd w:fill="FFFFFF" w:val="clear"/>
            <w:vAlign w:val="center"/>
          </w:tcPr>
          <w:p>
            <w:pPr>
              <w:pStyle w:val="TableContents"/>
              <w:bidi w:val="0"/>
              <w:spacing w:before="0" w:after="283"/>
              <w:jc w:val="left"/>
              <w:rPr/>
            </w:pPr>
            <w:r>
              <w:rPr/>
              <w:t> </w:t>
            </w:r>
          </w:p>
        </w:tc>
      </w:tr>
      <w:tr>
        <w:trPr/>
        <w:tc>
          <w:tcPr>
            <w:tcW w:w="2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0"/>
              <w:jc w:val="left"/>
              <w:rPr/>
            </w:pPr>
            <w:r>
              <w:rPr/>
              <w:t> </w:t>
            </w:r>
          </w:p>
        </w:tc>
        <w:tc>
          <w:tcPr>
            <w:tcW w:w="1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180,088</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640,925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(474,643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166,049</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25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137,820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(364,683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125,233</w:t>
            </w:r>
          </w:p>
        </w:tc>
        <w:tc>
          <w:tcPr>
            <w:tcW w:w="83" w:type="dxa"/>
            <w:tcBorders/>
            <w:shd w:fill="CCEEFF" w:val="clear"/>
            <w:vAlign w:val="center"/>
          </w:tcPr>
          <w:p>
            <w:pPr>
              <w:pStyle w:val="TableContents"/>
              <w:bidi w:val="0"/>
              <w:spacing w:before="0" w:after="283"/>
              <w:jc w:val="left"/>
              <w:rPr/>
            </w:pPr>
            <w:r>
              <w:rPr/>
              <w:t> </w:t>
            </w:r>
          </w:p>
        </w:tc>
      </w:tr>
      <w:tr>
        <w:trPr/>
        <w:tc>
          <w:tcPr>
            <w:tcW w:w="2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awards, net of tax remittance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left"/>
              <w:rPr/>
            </w:pPr>
            <w:r>
              <w:rPr/>
              <w:t> </w:t>
            </w:r>
          </w:p>
        </w:tc>
        <w:tc>
          <w:tcPr>
            <w:tcW w:w="167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0"/>
              <w:jc w:val="left"/>
              <w:rPr/>
            </w:pPr>
            <w:r>
              <w:rPr/>
              <w:t> </w:t>
            </w:r>
          </w:p>
        </w:tc>
        <w:tc>
          <w:tcPr>
            <w:tcW w:w="167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3" w:type="dxa"/>
            <w:tcBorders/>
            <w:shd w:fill="CCEEFF" w:val="clear"/>
            <w:vAlign w:val="center"/>
          </w:tcPr>
          <w:p>
            <w:pPr>
              <w:pStyle w:val="TableContents"/>
              <w:bidi w:val="0"/>
              <w:spacing w:before="0" w:after="283"/>
              <w:jc w:val="left"/>
              <w:rPr/>
            </w:pPr>
            <w:r>
              <w:rPr/>
              <w:t> </w:t>
            </w:r>
          </w:p>
        </w:tc>
      </w:tr>
      <w:tr>
        <w:trPr/>
        <w:tc>
          <w:tcPr>
            <w:tcW w:w="2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left"/>
              <w:rPr/>
            </w:pPr>
            <w:r>
              <w:rPr/>
              <w:t> </w:t>
            </w:r>
          </w:p>
        </w:tc>
        <w:tc>
          <w:tcPr>
            <w:tcW w:w="1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138,282</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491,391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(381,316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110,279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ind w:left="0" w:right="0" w:hanging="0"/>
              <w:jc w:val="left"/>
              <w:rPr/>
            </w:pPr>
            <w:r>
              <w:rPr/>
              <w:t> </w:t>
            </w:r>
          </w:p>
        </w:tc>
        <w:tc>
          <w:tcPr>
            <w:tcW w:w="167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3" w:type="dxa"/>
            <w:tcBorders/>
            <w:shd w:fill="CCEEFF" w:val="clear"/>
            <w:vAlign w:val="center"/>
          </w:tcPr>
          <w:p>
            <w:pPr>
              <w:pStyle w:val="TableContents"/>
              <w:bidi w:val="0"/>
              <w:spacing w:before="0" w:after="283"/>
              <w:jc w:val="left"/>
              <w:rPr/>
            </w:pPr>
            <w:r>
              <w:rPr/>
              <w:t> </w:t>
            </w:r>
          </w:p>
        </w:tc>
      </w:tr>
      <w:tr>
        <w:trPr/>
        <w:tc>
          <w:tcPr>
            <w:tcW w:w="2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on marketable securities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left"/>
              <w:rPr/>
            </w:pPr>
            <w:r>
              <w:rPr/>
              <w:t> </w:t>
            </w:r>
          </w:p>
        </w:tc>
        <w:tc>
          <w:tcPr>
            <w:tcW w:w="16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3" w:type="dxa"/>
            <w:tcBorders/>
            <w:shd w:fill="FFFFFF" w:val="clear"/>
            <w:vAlign w:val="center"/>
          </w:tcPr>
          <w:p>
            <w:pPr>
              <w:pStyle w:val="TableContents"/>
              <w:bidi w:val="0"/>
              <w:spacing w:before="0" w:after="283"/>
              <w:jc w:val="left"/>
              <w:rPr/>
            </w:pPr>
            <w:r>
              <w:rPr/>
              <w:t> </w:t>
            </w:r>
          </w:p>
        </w:tc>
      </w:tr>
      <w:tr>
        <w:trPr/>
        <w:tc>
          <w:tcPr>
            <w:tcW w:w="2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(19,881</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138,282</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494,182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(401,197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93,207</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Compass Therapeutics, Inc. and Subsidiaries</w:t>
      </w:r>
      <w:bookmarkStart w:id="7" w:name="cf"/>
      <w:bookmarkEnd w:id="7"/>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30"/>
        <w:gridCol w:w="60"/>
        <w:gridCol w:w="125"/>
        <w:gridCol w:w="695"/>
        <w:gridCol w:w="80"/>
        <w:gridCol w:w="60"/>
        <w:gridCol w:w="125"/>
        <w:gridCol w:w="650"/>
        <w:gridCol w:w="80"/>
      </w:tblGrid>
      <w:tr>
        <w:trPr/>
        <w:tc>
          <w:tcPr>
            <w:tcW w:w="8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w:t>
              <w:br/>
              <w:t>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8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10" w:type="dxa"/>
            <w:gridSpan w:val="4"/>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5,305</w:t>
            </w:r>
          </w:p>
        </w:tc>
        <w:tc>
          <w:tcPr>
            <w:tcW w:w="80" w:type="dxa"/>
            <w:tcBorders/>
            <w:shd w:fill="CCEEFF" w:val="cle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premium and discount on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 asset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80" w:type="dxa"/>
            <w:tcBorders/>
            <w:shd w:fill="CCEEFF" w:val="cle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shd w:fill="CCEEFF" w:val="cle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0" w:type="dxa"/>
            <w:tcBorders/>
            <w:shd w:fill="FFFFFF" w:val="cle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w:t>
            </w:r>
          </w:p>
        </w:tc>
        <w:tc>
          <w:tcPr>
            <w:tcW w:w="80" w:type="dxa"/>
            <w:tcBorders/>
            <w:shd w:fill="CCEEFF" w:val="cle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or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shares settlement of RSUs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cash, cash equivalents and restricted cash to the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22,856</w:t>
            </w:r>
          </w:p>
        </w:tc>
        <w:tc>
          <w:tcPr>
            <w:tcW w:w="80" w:type="dxa"/>
            <w:tcBorders/>
            <w:shd w:fill="CCEEFF" w:val="cle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3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Compass Therapeutics, Inc. and Subsidiaries</w:t>
      </w:r>
      <w:bookmarkStart w:id="8" w:name="notes"/>
      <w:bookmarkEnd w:id="8"/>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 </w:t>
            </w:r>
          </w:p>
        </w:tc>
        <w:tc>
          <w:tcPr>
            <w:tcW w:w="37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Nature of Business and 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Compass Therapeutics, Inc. (“Compass” or the “Company”) is a clinical-stage, oncology-focused biopharmaceutical company developing proprietary antibody-based therapeutics to treat multiple human diseases. The Company’s scientific focus is on the relationship between angiogenesis and the immune system. The pipeline includes novel product candidates that leverage our understanding of the tumor microenvironment, including both angiogenesis-targeted agents and immune-oncology focused agents. These product candidates are designed to optimize critical components required for an effective anti-tumor response to cancer. These include modulation of the microvasculature via angiogenesis-targeted agents; induction of a potent immune response via activators on effector cells in the tumor microenvironment; and alleviation of immunosuppressive mechanisms used by tumors to evade immune surveillance. The Company plans to advance its product candidates through clinical development as both standalone therapies and in combination with its proprietary drug candidates as long as their continued development is supported by clinical and nonclinical data. References to Compass or the Company herein include Compass Therapeutics, Inc. and its wholly owned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Company is subject to risks and uncertainties common to companies in the biotechnology and pharmaceutical industries.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consolidated financial position as of June 30, 2026 and its consolidated results of operations, comprehensive loss, changes in stockholders’ equity and cash flows for the six months ended June 30, 2026 and 2025. Operating results for the three and six months ended June 30, 2026 are not necessarily indicative of the results that may be expected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pPr>
      <w:r>
        <w:rPr>
          <w:rFonts w:ascii="Times New Roman" w:hAnsi="Times New Roman"/>
          <w:caps w:val="false"/>
          <w:smallCaps w:val="false"/>
          <w:sz w:val="20"/>
        </w:rPr>
        <w:t xml:space="preserve">The unaudited condensed consolidated financial statements include the accounts of Compass Therapeutics, Inc. and its subsidiaries,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 condensed consolidated balance sheet at December 31, 2025 has been derived from the audited consolidated financial statements at that date but does not include all of the information and footnotes required by GAAP for complete financial statements. Accordingly, these condensed consolidated financial statements should be read in conjunction with the Company’s audited financial statements in the Company’s </w:t>
      </w:r>
      <w:hyperlink r:id="rId2">
        <w:r>
          <w:rPr>
            <w:rStyle w:val="InternetLink"/>
            <w:rFonts w:ascii="Times New Roman" w:hAnsi="Times New Roman"/>
            <w:caps w:val="false"/>
            <w:smallCaps w:val="false"/>
            <w:sz w:val="20"/>
          </w:rPr>
          <w:t>Annual Report on Form 10-K for the fiscal year ended December 31, 2025</w:t>
        </w:r>
      </w:hyperlink>
      <w:r>
        <w:rPr>
          <w:rFonts w:ascii="Times New Roman" w:hAnsi="Times New Roman"/>
          <w:caps w:val="false"/>
          <w:smallCaps w:val="false"/>
          <w:sz w:val="20"/>
        </w:rPr>
        <w:t xml:space="preserve">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Since inception, the Company has devoted substantially all its efforts to organizing and staffing, business planning, raising capital, research and development activities, building intellectual property portfolio and providing general and administrative support for these operations. The Company has funded its operations with proceeds from the sale of equity securities and borrowing from debt arrangements. Through June 30, 2026, the Company has received $568 million in gross proceeds from the sale of equity securities. As of June 30, 2026, the total of cash, cash equivalents and marketable securities was $180 million. Based on research and development plans, the Company expects such cash resources will fund operating expenses and capital expenditure requirements into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215"/>
        <w:gridCol w:w="374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significant accounting policies previously disclosed in the Company’s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3. </w:t>
            </w:r>
          </w:p>
        </w:tc>
        <w:tc>
          <w:tcPr>
            <w:tcW w:w="22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represent the Company’s financial assets that are measured at fair value on a recurring basis and indicate the level of the fair value hierarchy utilized to determine such fair values (in thousands):</w:t>
      </w:r>
    </w:p>
    <w:p>
      <w:pPr>
        <w:pStyle w:val="TextBody"/>
        <w:bidi w:val="0"/>
        <w:spacing w:before="0" w:after="0"/>
        <w:ind w:left="0" w:right="0" w:hanging="0"/>
        <w:jc w:val="left"/>
        <w:rPr>
          <w:caps w:val="false"/>
          <w:smallCaps w:val="false"/>
        </w:rPr>
      </w:pPr>
      <w:r>
        <w:rPr>
          <w:caps w:val="false"/>
          <w:smallCaps w:val="false"/>
        </w:rPr>
        <w:t> </w:t>
      </w:r>
    </w:p>
    <w:tbl>
      <w:tblPr>
        <w:tblW w:w="9124" w:type="dxa"/>
        <w:jc w:val="left"/>
        <w:tblInd w:w="0" w:type="dxa"/>
        <w:tblLayout w:type="fixed"/>
        <w:tblCellMar>
          <w:top w:w="0" w:type="dxa"/>
          <w:left w:w="0" w:type="dxa"/>
          <w:bottom w:w="0" w:type="dxa"/>
          <w:right w:w="0" w:type="dxa"/>
        </w:tblCellMar>
      </w:tblPr>
      <w:tblGrid>
        <w:gridCol w:w="3230"/>
        <w:gridCol w:w="60"/>
        <w:gridCol w:w="281"/>
        <w:gridCol w:w="1328"/>
        <w:gridCol w:w="75"/>
        <w:gridCol w:w="75"/>
        <w:gridCol w:w="224"/>
        <w:gridCol w:w="1250"/>
        <w:gridCol w:w="75"/>
        <w:gridCol w:w="75"/>
        <w:gridCol w:w="386"/>
        <w:gridCol w:w="804"/>
        <w:gridCol w:w="75"/>
        <w:gridCol w:w="75"/>
        <w:gridCol w:w="158"/>
        <w:gridCol w:w="878"/>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9" w:type="dxa"/>
            <w:gridSpan w:val="1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 as of June 30, 2026:</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Quoted Prices in</w:t>
              <w:br/>
              <w:t>Active Markets for</w:t>
              <w:br/>
              <w:t>Identical Assets</w:t>
              <w:br/>
              <w:t>(Level 1)</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 Other</w:t>
              <w:br/>
              <w:t>Observable</w:t>
              <w:br/>
              <w:t>Inputs</w:t>
              <w:br/>
              <w:t>(Level 2)</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br/>
              <w:t>Unobservable</w:t>
              <w:br/>
              <w:t>Inputs</w:t>
              <w:br/>
              <w:t>(Level 3)</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111,644</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1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16,824</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1328"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10,164</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treasuries</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1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1328"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 (cash equivalents)</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125,904</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144,426</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297" w:type="dxa"/>
        <w:jc w:val="left"/>
        <w:tblInd w:w="0" w:type="dxa"/>
        <w:tblLayout w:type="fixed"/>
        <w:tblCellMar>
          <w:top w:w="0" w:type="dxa"/>
          <w:left w:w="0" w:type="dxa"/>
          <w:bottom w:w="0" w:type="dxa"/>
          <w:right w:w="0" w:type="dxa"/>
        </w:tblCellMar>
      </w:tblPr>
      <w:tblGrid>
        <w:gridCol w:w="3230"/>
        <w:gridCol w:w="60"/>
        <w:gridCol w:w="281"/>
        <w:gridCol w:w="1328"/>
        <w:gridCol w:w="84"/>
        <w:gridCol w:w="84"/>
        <w:gridCol w:w="224"/>
        <w:gridCol w:w="1250"/>
        <w:gridCol w:w="84"/>
        <w:gridCol w:w="84"/>
        <w:gridCol w:w="386"/>
        <w:gridCol w:w="804"/>
        <w:gridCol w:w="84"/>
        <w:gridCol w:w="84"/>
        <w:gridCol w:w="176"/>
        <w:gridCol w:w="979"/>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3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Measurements as of December 31, 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Quoted Prices in</w:t>
              <w:br/>
              <w:t>Active Markets for</w:t>
              <w:br/>
              <w:t>Identical Assets</w:t>
              <w:br/>
              <w:t>(Level 1)</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 Other</w:t>
              <w:br/>
              <w:t>Observable</w:t>
              <w:br/>
              <w:t>Inputs</w:t>
              <w:br/>
              <w:t>(Level 2)</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br/>
              <w:t>Unobservable</w:t>
              <w:br/>
              <w:t>Inputs</w:t>
              <w:br/>
              <w:t>(Level 3)</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86,636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86,636</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1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68,977</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68,977</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1328"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14,960</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treasuries</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1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1328"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 (cash equivalents)</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8,383</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79,024</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107,622</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186,646</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15"/>
        <w:gridCol w:w="188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4. </w:t>
            </w:r>
          </w:p>
        </w:tc>
        <w:tc>
          <w:tcPr>
            <w:tcW w:w="18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Marketable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objectives of the Company’s investment policy are to ensure the safety and preservation of invested funds, as well as to maintain liquidity sufficient to meet cash flow requirements. The Company invests its excess cash in securities issued by financial institutions, commercial companies, and government agencies that management believes to be of high credit quality in order to limit the amount of its credit exposure. The Company has not realized any net losses from its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Unrealized gains and losses on investments that are available for sale are recognized in accumulated other comprehensive (loss) income,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Company believes the individual unrealized losses represent temporary declines primarily resulting from interest rate changes. Realized gains and losses are included in other income in the condensed consolidated statements of operations and comprehensive loss and are determined using the specific identification method with transactions recorded on a trade date basis. The Company classifies marketable securities that are available for use in current operations as current assets on the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 marketable securities held (in thousands):</w:t>
      </w:r>
    </w:p>
    <w:p>
      <w:pPr>
        <w:pStyle w:val="TextBody"/>
        <w:bidi w:val="0"/>
        <w:spacing w:before="0" w:after="0"/>
        <w:ind w:left="0" w:right="0" w:hanging="0"/>
        <w:jc w:val="left"/>
        <w:rPr>
          <w:caps w:val="false"/>
          <w:smallCaps w:val="false"/>
        </w:rPr>
      </w:pPr>
      <w:r>
        <w:rPr>
          <w:caps w:val="false"/>
          <w:smallCaps w:val="false"/>
        </w:rPr>
        <w:t> </w:t>
      </w:r>
    </w:p>
    <w:tbl>
      <w:tblPr>
        <w:tblW w:w="8454" w:type="dxa"/>
        <w:jc w:val="left"/>
        <w:tblInd w:w="0" w:type="dxa"/>
        <w:tblLayout w:type="fixed"/>
        <w:tblCellMar>
          <w:top w:w="0" w:type="dxa"/>
          <w:left w:w="0" w:type="dxa"/>
          <w:bottom w:w="0" w:type="dxa"/>
          <w:right w:w="0" w:type="dxa"/>
        </w:tblCellMar>
      </w:tblPr>
      <w:tblGrid>
        <w:gridCol w:w="2180"/>
        <w:gridCol w:w="60"/>
        <w:gridCol w:w="203"/>
        <w:gridCol w:w="1136"/>
        <w:gridCol w:w="91"/>
        <w:gridCol w:w="91"/>
        <w:gridCol w:w="468"/>
        <w:gridCol w:w="976"/>
        <w:gridCol w:w="91"/>
        <w:gridCol w:w="91"/>
        <w:gridCol w:w="372"/>
        <w:gridCol w:w="1178"/>
        <w:gridCol w:w="121"/>
        <w:gridCol w:w="91"/>
        <w:gridCol w:w="189"/>
        <w:gridCol w:w="1056"/>
        <w:gridCol w:w="60"/>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5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Measurements as of June 30, 2026 Using: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gains</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Losses</w:t>
            </w:r>
          </w:p>
        </w:tc>
        <w:tc>
          <w:tcPr>
            <w:tcW w:w="121"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111,868</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1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111,644</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16,824</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10,172</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pPr>
            <w:r>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10,164</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treasuries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4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144,677</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4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739" w:type="dxa"/>
        <w:jc w:val="left"/>
        <w:tblInd w:w="0" w:type="dxa"/>
        <w:tblLayout w:type="fixed"/>
        <w:tblCellMar>
          <w:top w:w="0" w:type="dxa"/>
          <w:left w:w="0" w:type="dxa"/>
          <w:bottom w:w="0" w:type="dxa"/>
          <w:right w:w="0" w:type="dxa"/>
        </w:tblCellMar>
      </w:tblPr>
      <w:tblGrid>
        <w:gridCol w:w="2180"/>
        <w:gridCol w:w="60"/>
        <w:gridCol w:w="213"/>
        <w:gridCol w:w="1187"/>
        <w:gridCol w:w="102"/>
        <w:gridCol w:w="102"/>
        <w:gridCol w:w="392"/>
        <w:gridCol w:w="1052"/>
        <w:gridCol w:w="102"/>
        <w:gridCol w:w="102"/>
        <w:gridCol w:w="502"/>
        <w:gridCol w:w="1047"/>
        <w:gridCol w:w="136"/>
        <w:gridCol w:w="102"/>
        <w:gridCol w:w="213"/>
        <w:gridCol w:w="1187"/>
        <w:gridCol w:w="60"/>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3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Measurements as of December 31, 2025 Using: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gains</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Losses</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86,417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3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5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86,636</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68,943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68,977</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14,960</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treasuries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177,983</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5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178,263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493" w:type="dxa"/>
        <w:jc w:val="left"/>
        <w:tblInd w:w="0" w:type="dxa"/>
        <w:tblLayout w:type="fixed"/>
        <w:tblCellMar>
          <w:top w:w="0" w:type="dxa"/>
          <w:left w:w="0" w:type="dxa"/>
          <w:bottom w:w="0" w:type="dxa"/>
          <w:right w:w="0" w:type="dxa"/>
        </w:tblCellMar>
      </w:tblPr>
      <w:tblGrid>
        <w:gridCol w:w="3425"/>
        <w:gridCol w:w="60"/>
        <w:gridCol w:w="181"/>
        <w:gridCol w:w="1008"/>
        <w:gridCol w:w="60"/>
        <w:gridCol w:w="60"/>
        <w:gridCol w:w="249"/>
        <w:gridCol w:w="1390"/>
        <w:gridCol w:w="6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Maturing in one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126,119</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Maturing after one year through two years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178,263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215"/>
        <w:gridCol w:w="212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5. </w:t>
            </w:r>
          </w:p>
        </w:tc>
        <w:tc>
          <w:tcPr>
            <w:tcW w:w="21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258" w:type="dxa"/>
        <w:jc w:val="left"/>
        <w:tblInd w:w="0" w:type="dxa"/>
        <w:tblLayout w:type="fixed"/>
        <w:tblCellMar>
          <w:top w:w="0" w:type="dxa"/>
          <w:left w:w="0" w:type="dxa"/>
          <w:bottom w:w="0" w:type="dxa"/>
          <w:right w:w="0" w:type="dxa"/>
        </w:tblCellMar>
      </w:tblPr>
      <w:tblGrid>
        <w:gridCol w:w="3080"/>
        <w:gridCol w:w="60"/>
        <w:gridCol w:w="135"/>
        <w:gridCol w:w="589"/>
        <w:gridCol w:w="80"/>
        <w:gridCol w:w="60"/>
        <w:gridCol w:w="218"/>
        <w:gridCol w:w="956"/>
        <w:gridCol w:w="8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b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b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4,741</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equipment–at cost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6,739</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 for each of the six months ended June 30, 2026 and 2025 was $36 thousand and $0.2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215"/>
        <w:gridCol w:w="155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6. </w:t>
            </w:r>
          </w:p>
        </w:tc>
        <w:tc>
          <w:tcPr>
            <w:tcW w:w="15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consist of the following (in thousands):</w:t>
      </w:r>
    </w:p>
    <w:p>
      <w:pPr>
        <w:pStyle w:val="TextBody"/>
        <w:bidi w:val="0"/>
        <w:spacing w:before="0" w:after="0"/>
        <w:ind w:left="580" w:right="0" w:hanging="0"/>
        <w:jc w:val="left"/>
        <w:rPr>
          <w:caps w:val="false"/>
          <w:smallCaps w:val="false"/>
        </w:rPr>
      </w:pPr>
      <w:r>
        <w:rPr>
          <w:caps w:val="false"/>
          <w:smallCaps w:val="false"/>
        </w:rPr>
        <w:t> </w:t>
      </w:r>
    </w:p>
    <w:tbl>
      <w:tblPr>
        <w:tblW w:w="4378" w:type="dxa"/>
        <w:jc w:val="left"/>
        <w:tblInd w:w="0" w:type="dxa"/>
        <w:tblLayout w:type="fixed"/>
        <w:tblCellMar>
          <w:top w:w="0" w:type="dxa"/>
          <w:left w:w="0" w:type="dxa"/>
          <w:bottom w:w="0" w:type="dxa"/>
          <w:right w:w="0" w:type="dxa"/>
        </w:tblCellMar>
      </w:tblPr>
      <w:tblGrid>
        <w:gridCol w:w="2240"/>
        <w:gridCol w:w="60"/>
        <w:gridCol w:w="126"/>
        <w:gridCol w:w="598"/>
        <w:gridCol w:w="60"/>
        <w:gridCol w:w="60"/>
        <w:gridCol w:w="204"/>
        <w:gridCol w:w="970"/>
        <w:gridCol w:w="60"/>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8,217</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and benefits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Project expenses include $7.5 million of accrued manufacturing expenses primarily related to tovecimig.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215"/>
        <w:gridCol w:w="279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7. </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580" w:right="0" w:hanging="580"/>
        <w:jc w:val="left"/>
        <w:rPr>
          <w:caps w:val="false"/>
          <w:smallCaps w:val="false"/>
        </w:rPr>
      </w:pPr>
      <w:r>
        <w:rPr>
          <w:caps w:val="false"/>
          <w:smallCaps w:val="false"/>
        </w:rPr>
        <w:t> </w:t>
      </w:r>
    </w:p>
    <w:p>
      <w:pPr>
        <w:pStyle w:val="TextBody"/>
        <w:bidi w:val="0"/>
        <w:spacing w:before="0" w:after="0"/>
        <w:ind w:left="0" w:right="0" w:firstLine="58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has evaluated its leases under ASC 842, </w:t>
      </w:r>
      <w:r>
        <w:rPr>
          <w:rFonts w:ascii="Times New Roman" w:hAnsi="Times New Roman"/>
          <w:i/>
          <w:caps w:val="false"/>
          <w:smallCaps w:val="false"/>
          <w:sz w:val="20"/>
        </w:rPr>
        <w:t>Leases</w:t>
      </w:r>
      <w:r>
        <w:rPr>
          <w:rFonts w:ascii="Times New Roman" w:hAnsi="Times New Roman"/>
          <w:caps w:val="false"/>
          <w:smallCaps w:val="false"/>
          <w:sz w:val="20"/>
        </w:rPr>
        <w:t>, and determined that it has one lease that is classified as an operating lease. The classification of this lease is consistent with the Company’s determination under the previous accounting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terms of the Company’s only corporate office and laboratory facility (the “Facility”) lease were modified effective September 27, 2024 through the execution of a new lease. The modified terms extended the non-cancelable lease term through May 2031. The modified terms also included the right to use an additional 10,724 square feet that became available for the Company’s use in May 2025. The classification and incremental borrowing rate for the lease did not change as a result of this lease modification. Right-of-use assets obtained in exchange for the new operating lease liabilities due to the lease modification were $9.9 million for a total right-of-use assets as of June 30, 2026 of $8.4 million. The remaining lease term of the Facility lease is 4.9 years as of June 30, 2026. The Company has $568 thousand of restricted cash associated with an irrevocable letter of credit required by the landlord to enter into this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Lease costs related to the Facility were $0.5 million and $0.4 million for the three months ended June 30, 2026 and 2025, respectively and $1.0 million and $0.8 million for the six months ended June 30, 2026 and 2025, respectively. Cash payments related to the Facility were $0.4 million and $0.2 million for the three months ended June 30, 2026 and 2025, respectively and $0.6 million and $0.5 million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the undiscounted cash flows for the lease term. The undiscounted cash flows are reconciled to the operating lease liabilities recorded on the condensed consolidated balance sheet (in thousands):</w:t>
      </w:r>
    </w:p>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4280"/>
        <w:gridCol w:w="60"/>
        <w:gridCol w:w="125"/>
        <w:gridCol w:w="590"/>
        <w:gridCol w:w="80"/>
      </w:tblGrid>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Years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2,249</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2,294</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11,006</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of lease payments representing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9,633</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operating lease obligations,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long-term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8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Defined Contribution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 401(k) defined contribution plan (the “401(k) Plan”) for substantially all its employees. Eligible employees may make pre-tax or post-tax (Roth) contributions to the 401(k) Plan up to statutory limits. The Company matches employee contributions to the plan up to 6% of salary. The Company made matching contributions of $0.1 million during each of the three-month periods ended June 30, 2026 and 2025. The Company made matching contributions of $0.3 million and $0.2 million for the six months ended June 30, 2026 and 2025, respectively.</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15"/>
        <w:gridCol w:w="231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8. </w:t>
            </w:r>
          </w:p>
        </w:tc>
        <w:tc>
          <w:tcPr>
            <w:tcW w:w="23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the three and six months ended June 30, 2026 and 2025 was classified in the condensed consolidated statement of operations as follows (in thousands):</w:t>
      </w:r>
    </w:p>
    <w:p>
      <w:pPr>
        <w:pStyle w:val="TextBody"/>
        <w:bidi w:val="0"/>
        <w:spacing w:before="0" w:after="0"/>
        <w:ind w:left="0" w:right="0" w:hanging="0"/>
        <w:jc w:val="left"/>
        <w:rPr>
          <w:caps w:val="false"/>
          <w:smallCaps w:val="false"/>
        </w:rPr>
      </w:pPr>
      <w:r>
        <w:rPr>
          <w:caps w:val="false"/>
          <w:smallCaps w:val="false"/>
        </w:rPr>
        <w:t> </w:t>
      </w:r>
    </w:p>
    <w:tbl>
      <w:tblPr>
        <w:tblW w:w="7282" w:type="dxa"/>
        <w:jc w:val="left"/>
        <w:tblInd w:w="0" w:type="dxa"/>
        <w:tblLayout w:type="fixed"/>
        <w:tblCellMar>
          <w:top w:w="0" w:type="dxa"/>
          <w:left w:w="0" w:type="dxa"/>
          <w:bottom w:w="0" w:type="dxa"/>
          <w:right w:w="0" w:type="dxa"/>
        </w:tblCellMar>
      </w:tblPr>
      <w:tblGrid>
        <w:gridCol w:w="2210"/>
        <w:gridCol w:w="60"/>
        <w:gridCol w:w="236"/>
        <w:gridCol w:w="919"/>
        <w:gridCol w:w="113"/>
        <w:gridCol w:w="113"/>
        <w:gridCol w:w="236"/>
        <w:gridCol w:w="919"/>
        <w:gridCol w:w="60"/>
        <w:gridCol w:w="60"/>
        <w:gridCol w:w="214"/>
        <w:gridCol w:w="832"/>
        <w:gridCol w:w="102"/>
        <w:gridCol w:w="102"/>
        <w:gridCol w:w="214"/>
        <w:gridCol w:w="832"/>
        <w:gridCol w:w="6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(000’s)</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2,721</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5,722</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remaining unrecognized stock-based compensation cost from all plans to be recognized in future periods totaled $45.8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b/>
          <w:caps w:val="false"/>
          <w:smallCaps w:val="false"/>
          <w:sz w:val="20"/>
        </w:rPr>
      </w:pPr>
      <w:r>
        <w:rPr>
          <w:rFonts w:ascii="Times New Roman" w:hAnsi="Times New Roman"/>
          <w:b/>
          <w:caps w:val="false"/>
          <w:smallCaps w:val="false"/>
          <w:sz w:val="20"/>
        </w:rPr>
        <w:t>2020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In June 2020, the Company’s board of directors adopted the 2020 Stock Option and Incentive Plan (the “2020 Plan”) and reserved 2.9 million shares of common stock for issuance under this plan. The 2020 Plan includes automatic annual increases. The increase on January 1, 2026 was 7.1 million shares. As of June 30, 2026, 4.8 million shares remain available for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2020 Plan authorizes the board of directors or a committee of the board to grant incentive stock options, nonqualified stock options, restricted stock awards and restricted stock units ("RSUs") to eligible officers, employees, consultants and directors of the Company. Options generally vest over a period of four years and have a contractual life of ten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b/>
          <w:caps w:val="false"/>
          <w:smallCaps w:val="false"/>
          <w:sz w:val="20"/>
        </w:rPr>
      </w:pPr>
      <w:r>
        <w:rPr>
          <w:rFonts w:ascii="Times New Roman" w:hAnsi="Times New Roman"/>
          <w:b/>
          <w:caps w:val="false"/>
          <w:smallCaps w:val="false"/>
          <w:sz w:val="20"/>
        </w:rPr>
        <w:t>2025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In December 2025, the Company’s board of directors adopted the Compass Therapeutics, Inc. 2025 Inducement Plan (the “Inducement Plan”). The maximum number of shares of Stock reserved and available for issuance under the Inducement Plan is four million shares. As of June 30, 2026, a total of two million options were granted as part of the Inducement Plan to two new officers as a material inducement for those officers to join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80" w:right="0" w:hanging="0"/>
        <w:jc w:val="left"/>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stock option activity for the 2020 Plan and the Inducement Plan:</w:t>
      </w:r>
    </w:p>
    <w:p>
      <w:pPr>
        <w:pStyle w:val="TextBody"/>
        <w:bidi w:val="0"/>
        <w:spacing w:before="0" w:after="0"/>
        <w:ind w:left="580" w:right="0" w:hanging="0"/>
        <w:jc w:val="left"/>
        <w:rPr>
          <w:caps w:val="false"/>
          <w:smallCaps w:val="false"/>
        </w:rPr>
      </w:pPr>
      <w:r>
        <w:rPr>
          <w:caps w:val="false"/>
          <w:smallCaps w:val="false"/>
        </w:rPr>
        <w:t> </w:t>
      </w:r>
    </w:p>
    <w:tbl>
      <w:tblPr>
        <w:tblW w:w="7406" w:type="dxa"/>
        <w:jc w:val="left"/>
        <w:tblInd w:w="0" w:type="dxa"/>
        <w:tblLayout w:type="fixed"/>
        <w:tblCellMar>
          <w:top w:w="0" w:type="dxa"/>
          <w:left w:w="0" w:type="dxa"/>
          <w:bottom w:w="0" w:type="dxa"/>
          <w:right w:w="0" w:type="dxa"/>
        </w:tblCellMar>
      </w:tblPr>
      <w:tblGrid>
        <w:gridCol w:w="2840"/>
        <w:gridCol w:w="60"/>
        <w:gridCol w:w="84"/>
        <w:gridCol w:w="835"/>
        <w:gridCol w:w="80"/>
        <w:gridCol w:w="60"/>
        <w:gridCol w:w="212"/>
        <w:gridCol w:w="647"/>
        <w:gridCol w:w="60"/>
        <w:gridCol w:w="60"/>
        <w:gridCol w:w="181"/>
        <w:gridCol w:w="1158"/>
        <w:gridCol w:w="60"/>
        <w:gridCol w:w="60"/>
        <w:gridCol w:w="165"/>
        <w:gridCol w:w="784"/>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Aggregate </w:t>
            </w:r>
          </w:p>
        </w:tc>
        <w:tc>
          <w:tcPr>
            <w:tcW w:w="6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Unvested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w:t>
            </w:r>
          </w:p>
        </w:tc>
        <w:tc>
          <w:tcPr>
            <w:tcW w:w="6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(000's)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(in 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($000's)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1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36,614</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1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1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5,291</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Forfeited/canceled</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1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2026</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1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at June 30, 2026</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1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weighted average grant date fair value for options granted was $3.71. The intrinsic value for options vested as of June 30, 2026, was $1.6 million. As of June 30, 2026, the total unrecognized compensation cost related to outstanding options was $40.7 million, to be recognized over a weighted average period of 1.5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weighted average grant date fair value for options granted was $2.68. The intrinsic value for options vested as of June 30, 2025, was $2.1 million. As of June 30, 2025, the total unrecognized compensation cost related to outstanding options was $19.5 million, to be recognized over a weighted average period of 1.5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weighted average assumptions used in the Black-Scholes pricing model to determine the fair value of stock options granted during the six months ended June 30,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4571" w:type="dxa"/>
        <w:jc w:val="left"/>
        <w:tblInd w:w="0" w:type="dxa"/>
        <w:tblLayout w:type="fixed"/>
        <w:tblCellMar>
          <w:top w:w="0" w:type="dxa"/>
          <w:left w:w="0" w:type="dxa"/>
          <w:bottom w:w="0" w:type="dxa"/>
          <w:right w:w="0" w:type="dxa"/>
        </w:tblCellMar>
      </w:tblPr>
      <w:tblGrid>
        <w:gridCol w:w="2030"/>
        <w:gridCol w:w="60"/>
        <w:gridCol w:w="122"/>
        <w:gridCol w:w="776"/>
        <w:gridCol w:w="378"/>
        <w:gridCol w:w="122"/>
        <w:gridCol w:w="122"/>
        <w:gridCol w:w="776"/>
        <w:gridCol w:w="18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78" w:type="dxa"/>
            <w:tcBorders>
              <w:bottom w:val="single" w:sz="2" w:space="0" w:color="000000"/>
            </w:tcBorders>
            <w:tcMar>
              <w:bottom w:w="28" w:type="dxa"/>
            </w:tcMar>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378"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37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3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pPr>
            <w:r>
              <w:rPr/>
              <w:t>—</w:t>
            </w:r>
          </w:p>
        </w:tc>
        <w:tc>
          <w:tcPr>
            <w:tcW w:w="378"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i/>
          <w:caps w:val="false"/>
          <w:smallCaps w:val="false"/>
          <w:sz w:val="20"/>
        </w:rPr>
      </w:pPr>
      <w:r>
        <w:rPr>
          <w:rFonts w:ascii="Times New Roman" w:hAnsi="Times New Roman"/>
          <w:i/>
          <w:caps w:val="false"/>
          <w:smallCaps w:val="false"/>
          <w:sz w:val="20"/>
        </w:rPr>
        <w:t>RSUs:</w:t>
      </w:r>
    </w:p>
    <w:p>
      <w:pPr>
        <w:pStyle w:val="TextBody"/>
        <w:bidi w:val="0"/>
        <w:spacing w:before="0" w:after="0"/>
        <w:ind w:left="0" w:right="0" w:hanging="0"/>
        <w:jc w:val="left"/>
        <w:rPr/>
      </w:pPr>
      <w:r>
        <w:rPr/>
        <w:t> </w:t>
      </w:r>
    </w:p>
    <w:p>
      <w:pPr>
        <w:pStyle w:val="TextBody"/>
        <w:bidi w:val="0"/>
        <w:spacing w:before="0" w:after="0"/>
        <w:ind w:left="58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RSU activity for the 2020 Plan and the Inducement Plan:</w:t>
      </w:r>
    </w:p>
    <w:p>
      <w:pPr>
        <w:pStyle w:val="TextBody"/>
        <w:bidi w:val="0"/>
        <w:spacing w:before="0" w:after="0"/>
        <w:ind w:left="0" w:right="0" w:hanging="0"/>
        <w:jc w:val="left"/>
        <w:rPr>
          <w:caps w:val="false"/>
          <w:smallCaps w:val="false"/>
        </w:rPr>
      </w:pPr>
      <w:r>
        <w:rPr>
          <w:caps w:val="false"/>
          <w:smallCaps w:val="false"/>
        </w:rPr>
        <w:t> </w:t>
      </w:r>
    </w:p>
    <w:tbl>
      <w:tblPr>
        <w:tblW w:w="7093" w:type="dxa"/>
        <w:jc w:val="left"/>
        <w:tblInd w:w="0" w:type="dxa"/>
        <w:tblLayout w:type="fixed"/>
        <w:tblCellMar>
          <w:top w:w="0" w:type="dxa"/>
          <w:left w:w="0" w:type="dxa"/>
          <w:bottom w:w="0" w:type="dxa"/>
          <w:right w:w="0" w:type="dxa"/>
        </w:tblCellMar>
      </w:tblPr>
      <w:tblGrid>
        <w:gridCol w:w="2450"/>
        <w:gridCol w:w="60"/>
        <w:gridCol w:w="64"/>
        <w:gridCol w:w="526"/>
        <w:gridCol w:w="80"/>
        <w:gridCol w:w="60"/>
        <w:gridCol w:w="305"/>
        <w:gridCol w:w="929"/>
        <w:gridCol w:w="60"/>
        <w:gridCol w:w="60"/>
        <w:gridCol w:w="495"/>
        <w:gridCol w:w="1924"/>
        <w:gridCol w:w="8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br/>
              <w:t>(000's)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 Price</w:t>
              <w:br/>
              <w:t>Per Share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 Fair Value ($000's)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December 31,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2,395</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ind w:left="0" w:right="0" w:hanging="0"/>
              <w:jc w:val="left"/>
              <w:rPr/>
            </w:pPr>
            <w:r>
              <w:rPr/>
              <w:t> </w:t>
            </w:r>
          </w:p>
        </w:tc>
        <w:tc>
          <w:tcPr>
            <w:tcW w:w="1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4,458</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ind w:left="0" w:right="0" w:hanging="0"/>
              <w:jc w:val="left"/>
              <w:rPr/>
            </w:pPr>
            <w:r>
              <w:rPr/>
              <w:t> </w:t>
            </w:r>
          </w:p>
        </w:tc>
        <w:tc>
          <w:tcPr>
            <w:tcW w:w="1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or canceled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weighted average price per share is the weighted grant price based on the closing market price of each of the stock grants. The weighted average fair value is the weighted average share price times the number of shares. As of June 30, 2026, the remaining unrecognized compensation cost related to RSUs to be recognized in future periods totaled $5.1 million, which is expected to be recognized over a weighted average period of 1.6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9. </w:t>
            </w:r>
          </w:p>
        </w:tc>
        <w:tc>
          <w:tcPr>
            <w:tcW w:w="17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 xml:space="preserve">’ </w:t>
            </w: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2025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On August 12, 2025, the Company entered into an underwriting agreement (the “Underwriting Agreement”) with Jefferies LLC, Piper Sandler &amp; Co., and Guggenheim Securities, LLC, as representatives (the “Representatives”) of the underwriters named therein (the “Underwriters”), pursuant to which the Company agreed to issue and sell an aggregate of (a) 33,290,000 shares (the “Firm Shares”) of its common stock, par value $0.0001 per share (the “Common Stock”), at a price to the public of $3.00 per share, and (b) pre-funded warrants to purchase up to 6,710,000 shares of the Company’s Common Stock (the “Pre-Funded Warrants”), at a price to the public of $2.9999 per warrant with an exercise price of $0.0001 per share (the “Offering”). Pursuant to the Underwriting Agreement, the Company granted the underwriters a 30-day option, which the underwriters exercised, to purchase up to an additional 6,000,000 shares of its Common Stock (the “Optional Shares”, and together with the Firm Shares, the “Shares”) at the public offering price, less underwriting discounts and commissions. The Company received aggregate net proceeds of $129.3 million, after deducting underwriting discounts and commissions of $8.3 million and other offering costs of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2025 Pre-Funded Warrants were determined to be equity classified. Accordingly, proceeds from the offering were allocated to common stock, the 2025 Pre-Funded Warrants on a relative fair value basis and were recorded in stockholders’ equity. As of June 30, 2026, all of the 2025 Pre-Funded Warrants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20"/>
        <w:gridCol w:w="315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10. </w:t>
            </w:r>
          </w:p>
        </w:tc>
        <w:tc>
          <w:tcPr>
            <w:tcW w:w="315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Basic and Diluted Net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has been computed by dividing net loss by the weighted-average number of shares of common stock outstanding during the period. Diluted net loss per share is calculated by dividing net loss by the weighted-average number of shares of common stock plus potentially dilutive securities outstanding during the period. Potential shares of common stock exercisable for little or no consideration are included in both basic and diluted weighted-average number of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basic and diluted weighted-average number of shares outstanding were 186.8 million and included pre-funded warrants to purchase 6,710,000 shares of common stock with an exercise price of $0.0001 per share. During the three months ended June 30, 2025, basic and diluted weighted-average number of shares outstanding were 138.3 million shares. During the six months ended June 30, 2026, basic and diluted weighted-average number of shares outstanding were 186.6 million and included pre-funded warrants to purchase 6,710,000 shares of common stock with an exercise price of $0.0001 per share. During the six months ended June 30, 2025, basic and diluted weighted-average number of shares outstanding were 138.3 million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computation of diluted net loss per share for the three and six months ended June 30, 2026 excluded 25.3 million shares subject to outstanding stock options and restricted stock units because their inclusion would have had an anti-dilutive effect on diluted net loss per share. The computation of diluted net loss per share for the three and six months ended June 30, 2025 excluded 21.5 million shares, subject to outstanding stock options and restricted stock because their inclusion would have had an anti-dilutive effect on diluted net loss per share. The following potentially dilutive securities (in common stock equivalents) have been excluded from the computation of diluted weighted-average shares outstanding for the three and six months ended June 30, 2026 and 2025, as they would be antidilutive:</w:t>
      </w:r>
    </w:p>
    <w:p>
      <w:pPr>
        <w:pStyle w:val="TextBody"/>
        <w:bidi w:val="0"/>
        <w:spacing w:before="0" w:after="0"/>
        <w:ind w:left="0" w:right="0" w:hanging="0"/>
        <w:jc w:val="left"/>
        <w:rPr>
          <w:caps w:val="false"/>
          <w:smallCaps w:val="false"/>
        </w:rPr>
      </w:pPr>
      <w:r>
        <w:rPr>
          <w:caps w:val="false"/>
          <w:smallCaps w:val="false"/>
        </w:rPr>
        <w:t> </w:t>
      </w:r>
    </w:p>
    <w:tbl>
      <w:tblPr>
        <w:tblW w:w="6851" w:type="dxa"/>
        <w:jc w:val="left"/>
        <w:tblInd w:w="0" w:type="dxa"/>
        <w:tblLayout w:type="fixed"/>
        <w:tblCellMar>
          <w:top w:w="0" w:type="dxa"/>
          <w:left w:w="0" w:type="dxa"/>
          <w:bottom w:w="0" w:type="dxa"/>
          <w:right w:w="0" w:type="dxa"/>
        </w:tblCellMar>
      </w:tblPr>
      <w:tblGrid>
        <w:gridCol w:w="1775"/>
        <w:gridCol w:w="60"/>
        <w:gridCol w:w="71"/>
        <w:gridCol w:w="1127"/>
        <w:gridCol w:w="71"/>
        <w:gridCol w:w="71"/>
        <w:gridCol w:w="71"/>
        <w:gridCol w:w="1127"/>
        <w:gridCol w:w="60"/>
        <w:gridCol w:w="60"/>
        <w:gridCol w:w="64"/>
        <w:gridCol w:w="1021"/>
        <w:gridCol w:w="64"/>
        <w:gridCol w:w="64"/>
        <w:gridCol w:w="64"/>
        <w:gridCol w:w="1021"/>
        <w:gridCol w:w="60"/>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1"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23,650,088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18,544,104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23,650,088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18,544,104</w:t>
            </w:r>
          </w:p>
        </w:tc>
        <w:tc>
          <w:tcPr>
            <w:tcW w:w="60"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1,606,250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1,606,250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2,942,969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320"/>
        <w:gridCol w:w="419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11. </w:t>
            </w:r>
          </w:p>
        </w:tc>
        <w:tc>
          <w:tcPr>
            <w:tcW w:w="41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License, Research and Collaboration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b/>
          <w:caps w:val="false"/>
          <w:smallCaps w:val="false"/>
          <w:sz w:val="20"/>
        </w:rPr>
      </w:pPr>
      <w:r>
        <w:rPr>
          <w:rFonts w:ascii="Times New Roman" w:hAnsi="Times New Roman"/>
          <w:b/>
          <w:caps w:val="false"/>
          <w:smallCaps w:val="false"/>
          <w:sz w:val="20"/>
        </w:rPr>
        <w:t>Collaboration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b/>
          <w:i/>
          <w:caps w:val="false"/>
          <w:smallCaps w:val="false"/>
          <w:sz w:val="20"/>
        </w:rPr>
      </w:pPr>
      <w:r>
        <w:rPr>
          <w:rFonts w:ascii="Times New Roman" w:hAnsi="Times New Roman"/>
          <w:b/>
          <w:i/>
          <w:caps w:val="false"/>
          <w:smallCaps w:val="false"/>
          <w:sz w:val="20"/>
        </w:rPr>
        <w:t>ABL Bio Corporation ("ABL Bio")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In November 2018, the Company and ABL Bio, a South Korean biotechnology company, entered into an exclusive global (excluding South Korea) license agreement which granted the Company a license to tovecimig (ABL001), ABL Bio’s bispecific antibody targeting DLL4 and VEGF-A. Under the terms of the agreement, the two companies would jointly develop tovecimig, with ABL Bio responsible for development of tovecimig throughout the end of Phase 1 clinical trials and the Company responsible for the development of tovecimig from Phase 2 and onward. ABL Bio received a $5 million upfront payment and $6 million development milestone payment. In addition, ABL Bio is eligible to receive up to $96 million of development and regulatory milestone payments, and up to $303 million of commercial milestone payments and tiered single-digit royalties on net sales of tovecimig in oncology. ABL Bio is also eligible to receive up to $75 million in development and regulatory milestones and up to $110 million in commercial milestone payments and tiered, single-digit royalties on net sales of tovecimig in ophthalmology.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In May 2021, the Company and ABL Bio terminated license agreements to several preclinical assets. As a result of the return of these assets to ABL Bio and termination of the license agreements, the Company is eligible to receive royalty payments if ABL Bio develops or licenses two bispecific antibodies that were previously licensed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left"/>
        <w:rPr>
          <w:rFonts w:ascii="Times New Roman" w:hAnsi="Times New Roman"/>
          <w:b/>
          <w:i/>
          <w:caps w:val="false"/>
          <w:smallCaps w:val="false"/>
          <w:sz w:val="20"/>
        </w:rPr>
      </w:pPr>
      <w:r>
        <w:rPr>
          <w:rFonts w:ascii="Times New Roman" w:hAnsi="Times New Roman"/>
          <w:b/>
          <w:i/>
          <w:caps w:val="false"/>
          <w:smallCaps w:val="false"/>
          <w:sz w:val="20"/>
        </w:rPr>
        <w:t>Adimab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The Company entered into a collaboration agreement with Adimab, LLC on October 16, 2014. The agreement includes provisions for payment of royalties at rates ranging in the single digits as a percentage of future net sales within a specified term from the first commercial sale for certain antibodies, including our product candidate, CTX-471. There were no milestone payments made during the six months ended June 30, 2026. As of June 30, 2026, future potential milestone payments in connection with this agreement amounted to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320"/>
        <w:gridCol w:w="182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12. </w:t>
            </w:r>
          </w:p>
        </w:tc>
        <w:tc>
          <w:tcPr>
            <w:tcW w:w="18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0"/>
        <w:jc w:val="both"/>
        <w:rPr>
          <w:rFonts w:ascii="Times New Roman" w:hAnsi="Times New Roman"/>
          <w:caps w:val="false"/>
          <w:smallCaps w:val="false"/>
          <w:sz w:val="20"/>
        </w:rPr>
      </w:pPr>
      <w:r>
        <w:rPr>
          <w:rFonts w:ascii="Times New Roman" w:hAnsi="Times New Roman"/>
          <w:caps w:val="false"/>
          <w:smallCaps w:val="false"/>
          <w:sz w:val="20"/>
        </w:rPr>
        <w:t>Segment reporting is prepared on the same basis that our chief executive officer, who is our Chief Operating Decision Maker, manages the business, makes operating decisions and assesses performance. The Company operates in one segment. The Company’s business is research and development of drug candidates. Costs, including supplies, outsourced development, and other research and development costs are tracked by major program. While internal personnel costs are tracked by program for overall program spending, it is not broken out for management review. Facility and equipment costs are not allocated to programs. Research and development expenses are summarized by program in the table below (in thousands):</w:t>
      </w:r>
    </w:p>
    <w:p>
      <w:pPr>
        <w:pStyle w:val="TextBody"/>
        <w:bidi w:val="0"/>
        <w:spacing w:before="0" w:after="0"/>
        <w:ind w:left="0" w:right="0" w:hanging="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2210"/>
        <w:gridCol w:w="60"/>
        <w:gridCol w:w="187"/>
        <w:gridCol w:w="976"/>
        <w:gridCol w:w="120"/>
        <w:gridCol w:w="90"/>
        <w:gridCol w:w="187"/>
        <w:gridCol w:w="976"/>
        <w:gridCol w:w="80"/>
        <w:gridCol w:w="60"/>
        <w:gridCol w:w="170"/>
        <w:gridCol w:w="884"/>
        <w:gridCol w:w="108"/>
        <w:gridCol w:w="81"/>
        <w:gridCol w:w="170"/>
        <w:gridCol w:w="884"/>
        <w:gridCol w:w="8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4,682</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5,187</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3,358</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Tovecimig</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14,426</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CTX-471</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CTX-8371</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CTX-10726</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19,576</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32,968</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4,540</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6,404</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14,310</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(43,471</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9" w:name="p1i2"/>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i/>
          <w:caps w:val="false"/>
          <w:smallCaps w:val="false"/>
          <w:sz w:val="20"/>
        </w:rPr>
        <w:t xml:space="preserve">The following discussion of the financial condition and results of operations of Compass Therapeutics, Inc. should be read in conjunction with the financial statements and the notes to those statements included in this Quarterly Report on Form 10-Q for the three and six months ended June 30, 2026. Some of the information contained in this discussion and analysis, including information with respect to our plans and strategy for our business, includes forward-looking statements that involve risk, uncertainties and assumptions. You should read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section of this Quarterly Report on Form 10-Q and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section included in our </w:t>
      </w:r>
      <w:hyperlink r:id="rId3">
        <w:r>
          <w:rPr>
            <w:rStyle w:val="InternetLink"/>
            <w:rFonts w:ascii="Times New Roman" w:hAnsi="Times New Roman"/>
            <w:i/>
            <w:caps w:val="false"/>
            <w:smallCaps w:val="false"/>
            <w:sz w:val="20"/>
          </w:rPr>
          <w:t>Annual Report on Form 10-K for the fiscal year ended December 31, 2025</w:t>
        </w:r>
      </w:hyperlink>
      <w:r>
        <w:rPr>
          <w:rFonts w:ascii="Times New Roman" w:hAnsi="Times New Roman"/>
          <w:i/>
          <w:caps w:val="false"/>
          <w:smallCaps w:val="false"/>
          <w:sz w:val="20"/>
        </w:rPr>
        <w: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are a clinical-stage, oncology-focused biopharmaceutical company developing proprietary antibody-based therapeutics to treat multiple human diseases. Our scientific focus is on the relationship between angiogenesis, the immune system, and tumor growth. Our pipeline of novel product candidates is designed to target multiple components required for an effective anti-tumor response. These include modulation of the microvasculature via angiogenesis-targeted agents, induction of a potent immune response via activators on effector cells in the tumor microenvironment, and alleviation of immunosuppressive mechanisms used by tumors to evade immune surveillance. We plan to advance our product candidates through clinical development as both standalone therapies and in combination with proprietary pipeline antibodies based on supportive clinical and nonclinical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Our pipeline comprises four clinical product candidates. Our lead product candidate, tovecimig (formerly known as CTX-009), is a bispecific antibody targeting Delta-like ligand 4 (“DLL4”), a ligand of Notch-1, and vascular endothelial growth factor A (“VEGF-A”). Simultaneous blockade of the VEGF-A and the Notch pathways is known to turn productive angiogenesis into non-productive angiogenesis, which leads to tumor shrinkage and apoptosis. CTX-471 is an agonistic antibody targeting a member of the tumor necrosis factor receptor superfamily (TNFRSF9), also known as CD-137, a co-stimulatory receptor which is mostly expressed on activated, but not on resting, T-cells and NK cells. CTX-8371 is a bispecific antibody targeting the programmed cell death protein-1 (“PD-1”), an inhibitory immune checkpoint receptor and its ligand PD-L1, two validated immune-oncology targets. CTX-10726 is a bispecific antibody targeting PD-1 and VEGF-A, also two validated immune-oncology targets. For a more detailed description, see our </w:t>
      </w:r>
      <w:hyperlink r:id="rId4">
        <w:r>
          <w:rPr>
            <w:rStyle w:val="InternetLink"/>
            <w:rFonts w:ascii="Times New Roman" w:hAnsi="Times New Roman"/>
            <w:caps w:val="false"/>
            <w:smallCaps w:val="false"/>
            <w:sz w:val="20"/>
            <w:u w:val="single"/>
          </w:rPr>
          <w:t>Annual Report on Form 10-K for the fiscal year ended December 31, 2025</w:t>
        </w:r>
      </w:hyperlink>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Tovecimig Results in COMPANION-002 Phase 2/3 Study in the Second Line Setting for Patients with BTC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April 2026, we announced survival and safety data from our Phase 2/3 randomized trial of tovecimig in combination with paclitaxel in patients with biliary tract cancer (“BTC”) treated in the second-line setting. We expect feedback from the FDA in the third quarter regarding the COMPANION-002 Phase 2/3 data, prior to a potential BLA filing later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study met the primary endpoint of overall response rate (“ORR”) with 18.0% in the tovecimig combination arm compared to 5.3% in the paclitaxel control arm, including one complete response in the tovecimig arm. In the final data analysis, the ORR improved to 18.0% (20/111 patients) in the tovecimig combination arm from a previously reported 17.1%. One patient initially characterized as “Non-CR / Non-PD” due to target lesion characteristics was ultimately adjudicated by blinded independent central review to be a partial response. With this change, the p-value also improved to 0.0228 compared to paclitaxel alone (vs previously reported p=0.031). The tovecimig combination arm also demonstrated a highly statistically significant improvement versus paclitaxel alone in the secondary endpoint of median progression-free survival (PFS) of 4.7 months versus 2.6 months, providing a 56% reduction in the risk of progression (hazard ratio=0.44, p&lt;0.0001). Secondary endpoint analyses of overall survival (OS) were confounded by both high crossover (54%) and notably prolonged survival in crossover patients randomized to the control arm then treated with tovecimig and, therefore, did not meet statistical significance.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July 2026, we announced data from this study has been selected for a proffered paper oral presentation at the 2026 ESMO Congress.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Tovecimig Investigator Sponsored Trials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previously disclosed investigator sponsored trial (“IST”) of tovecimig in combination with the current first-line, standard-of-care regimen of gemcitabine, cisplatin, and durvalumab in patients with BTC (NCT06548412) is ongoing with expansion to additional sites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Two additional ISTs have been initiated, including a study of tovecimig plus FOLFIRI in patients with colorectal cancer in the second line setting (NCT07662031) and a study of tovecimig plus CTX-471 in patients with glioblastoma in the second line setting (NCT07392957). We are evaluating additional studies for tovecimig in other indications, including both ISTs and Company-sponsored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CTX-8371 (PD-1 x PD-L1 bispecific) Phase 1 Expansion Cohorts Enrolling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Phase 1 cohort expansions are actively enrolling patients with triple-negative breast cancer (“TNBC”), Hodgkin lymphoma (“HL”) and non-small cell lung cancer (“NSCLC”) at two dose levels: 3.0 mg/kg and 10.0 mg/kg. The evaluation of an RP2D for further development. Additional data from the cohort expansions are expected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At the ASCO Annual Meeting in May 2026, we presented data from the dose-escalation portion of this Phase 1, open-label, first-in-human study evaluating CTX-8371 in patients with metastatic or locally advanced malignancies.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 patients completed the dose-limiting toxicity (“DLT”) evaluation period and had at least one post-baseline disease assessment in the dose escalation cohort.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three responses: one patient with TNBC achieved &gt; 90% reduction in target tumor lesions at Week 8, one patient with HL achieved a decrease in metabolic activity of target lesions at Week 24 (partial metabolic response), and one patient with NSCLC achieved complete resolution of target lesions at Week 16 after initial pseudo-progression.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two highest dose levels (3.0 and 10.0 mg/kg), the ORR was 33% (2 of 6 evaluable patients). The responses at the two highest dose levels were durable: 10.5+ months for TNBC and 7.5+ months HL as of May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CTX-8371 was generally well tolerated with no DLTs. All treatment-related adverse events were mild Grade 1 or Grade 2, with the exception of one asymptomatic Grade 3 lipase increase.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CTX-10726 (PD-1 x VEGF-A bispecific) Phase 1 Dose-Escalation Study Enrolling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first patients have been dosed in the Phase 1 dose-escalation study of CTX-10726 with locally advanced, unresectable or metastatic renal cell carcinoma, gastroesophageal cancer, hepatocellular carcinoma, or endometrial cancer, in whom standard of care therapies have failed. Clinical data from the dose-escalation cohort is expected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have funded our operations primarily with proceeds from the sale of our equity securities. Through June 30, 2026, we have received $568 million in gross proceeds from the sale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have incurred significant operating losses since inception and have not generated any revenue from the sale of products and we do not expect to generate any revenue from the sale of products in the near future, if at all. Our ability to generate product revenue sufficient to achieve profitability will depend heavily on the successful development and eventual commercialization of our therapies and any future product candidates. Our net losses were $25.2 million and $19.9 million for the three months ended June 30, 2026 and 2025, respectively. Our net losses were $43.5 million and $36.5 million for the six months ended June 30, 2026 and 2025, respectively. We had an accumulated deficit of $475 million on June 30, 2026. We expect to continue to incur significant expenses for at least the next several years as we advance through clinical development, develop additional product candidates and seek regulatory approval of any product candidates that complete clinical development. In addition, if we obtain marketing approval for any product candidates, we expect to incur significant commercialization expenses related to product manufacturing, marketing, sales and distribution. We may also incur expenses in connection with the in-licensing or acquisition of additional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a result, we will need substantial additional funding to support our continuing operations and pursue our growth strategy. Until such time as we can generate significant revenue from product sales, if ever, we expect to finance our operations through equity and debt financings, or other capital sources, which may include collaborations with other companies or other strategic transactions. As of June 30, 2026, we had $180 million in cash, cash equivalents and marketable securities. We expect that such cash resources will enable us to fund our operating expenses and capital expenditure requirements into 2028.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 or delay our pursuit of potential in-licenses or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 Our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b/>
          <w:i/>
          <w:caps w:val="false"/>
          <w:smallCaps w:val="false"/>
          <w:sz w:val="20"/>
        </w:rPr>
        <w:t>At-The-Market (</w:t>
      </w:r>
      <w:r>
        <w:rPr>
          <w:rFonts w:ascii="Times New Roman" w:hAnsi="Times New Roman"/>
          <w:caps w:val="false"/>
          <w:smallCaps w:val="false"/>
          <w:sz w:val="20"/>
        </w:rPr>
        <w:t>“</w:t>
      </w:r>
      <w:r>
        <w:rPr>
          <w:rFonts w:ascii="Times New Roman" w:hAnsi="Times New Roman"/>
          <w:b/>
          <w:i/>
          <w:caps w:val="false"/>
          <w:smallCaps w:val="false"/>
          <w:sz w:val="20"/>
        </w:rPr>
        <w:t>ATM</w:t>
      </w:r>
      <w:r>
        <w:rPr>
          <w:rFonts w:ascii="Times New Roman" w:hAnsi="Times New Roman"/>
          <w:caps w:val="false"/>
          <w:smallCaps w:val="false"/>
          <w:sz w:val="20"/>
        </w:rPr>
        <w:t>”</w:t>
      </w:r>
      <w:r>
        <w:rPr>
          <w:rFonts w:ascii="Times New Roman" w:hAnsi="Times New Roman"/>
          <w:b/>
          <w:i/>
          <w:caps w:val="false"/>
          <w:smallCaps w:val="false"/>
          <w:sz w:val="20"/>
        </w:rPr>
        <w: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the first six months of 2026, there were no issuances of common stock through our Open Market Sale AgreementSM with Jefferies LLC (“Jefferies ATM Agreement”). In December 2025, we entered into a Sales Agreement for our ATM offering with Leerink Partners LLC and Cantor Fitzgerald &amp; Co. (the “2026 ATM Agreement”), and the prior Jefferies ATM Agreement was terminated. In the first six months of 2026, we did not sell any shares of common stock under the 2026 ATM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Research and development expenses consist primarily of costs incurred in connection with the development of our product candidates, tovecimig, CTX-471, CTX-8371 and CTX-10726. We expense research and development costs as incurred. These expenses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expenses including Contract Research Organizations (“CRO”), consultants that conduct our clinical trials, as well as investigative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manufacturing expenses including Contract Manufacturing Organizations (“CMO”), consultants that are primarily engaged to develop and manufacture drug substance and product for our clinical trials, as well as the cost of acquiring and manufacturing clinical trial materials, including manufacturing registration and validation batches;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employee-related expenses including salaries, related benefits and equity-based compensation expense for employees engaged in research and development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research and development expenses including pre-clinical study costs and expenses incurred under agreements with organizations that support our platform program development;</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related to compliance with quality and regulatory requirements; and</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60"/>
        <w:gridCol w:w="170"/>
        <w:gridCol w:w="2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facilities and equipment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future. At this time, we cannot accurately estimate or know the nature, timing and costs of the efforts that will be necessary to complete the clinical development of any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clinical development costs may vary significantly based on factors such as:</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60"/>
        <w:gridCol w:w="170"/>
        <w:gridCol w:w="1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 patient trial costs;</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60"/>
        <w:gridCol w:w="170"/>
        <w:gridCol w:w="3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trials required for approval;</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sites included in the trials;</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location where the trials are conducted;</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length of time required to enroll eligible patients;</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60"/>
        <w:gridCol w:w="170"/>
        <w:gridCol w:w="4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patients that participate in the trials;</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170"/>
        <w:gridCol w:w="3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doses that patients receive;</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drop-out or discontinuation rates of patients;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additional safety monitoring requested by regulatory agencies;</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70"/>
        <w:gridCol w:w="5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duration of patient participation in the trials and follow-up;</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 and timing of manufacturing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phase of development of our product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60"/>
        <w:gridCol w:w="170"/>
        <w:gridCol w:w="45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efficacy and safety profile of our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successful development and commercialization of product candidates is highly uncertain. This is due to the numerous risks and uncertainties associated with product development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consist primarily of salaries and related costs for personnel in executive, finance, business development and administrative functions. General and administrative expenses also include legal fees relating to patent and corporate matters, professional fees for accounting, auditing, tax, insurance, administrative travel expenses and other operating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anticipate that our general and administrative expenses will increase in the future as we increase our headcount to support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Interest income consists of interest income on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results of operations for the three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4886" w:type="dxa"/>
        <w:jc w:val="left"/>
        <w:tblInd w:w="0" w:type="dxa"/>
        <w:tblLayout w:type="fixed"/>
        <w:tblCellMar>
          <w:top w:w="0" w:type="dxa"/>
          <w:left w:w="0" w:type="dxa"/>
          <w:bottom w:w="0" w:type="dxa"/>
          <w:right w:w="0" w:type="dxa"/>
        </w:tblCellMar>
      </w:tblPr>
      <w:tblGrid>
        <w:gridCol w:w="2210"/>
        <w:gridCol w:w="60"/>
        <w:gridCol w:w="127"/>
        <w:gridCol w:w="660"/>
        <w:gridCol w:w="81"/>
        <w:gridCol w:w="60"/>
        <w:gridCol w:w="127"/>
        <w:gridCol w:w="660"/>
        <w:gridCol w:w="81"/>
        <w:gridCol w:w="60"/>
        <w:gridCol w:w="127"/>
        <w:gridCol w:w="553"/>
        <w:gridCol w:w="8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16,415</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4,651</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26,979</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(19,881</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Research and development expenses increased by $3.2 million, or 19%, for the three months ended June 30, 2026 compared to the three months ended June 30, 2025. The increase was primarily driven by $2.6 million related to non-personnel project expenses for tovecimig.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track outsourced development, personnel costs and other research and development costs of specific programs. Research and development expenses are summarized by program in the table below (in thousands):</w:t>
      </w:r>
    </w:p>
    <w:p>
      <w:pPr>
        <w:pStyle w:val="TextBody"/>
        <w:bidi w:val="0"/>
        <w:spacing w:before="0" w:after="0"/>
        <w:ind w:left="0" w:right="0" w:hanging="0"/>
        <w:jc w:val="left"/>
        <w:rPr>
          <w:caps w:val="false"/>
          <w:smallCaps w:val="false"/>
        </w:rPr>
      </w:pPr>
      <w:r>
        <w:rPr>
          <w:caps w:val="false"/>
          <w:smallCaps w:val="false"/>
        </w:rPr>
        <w:t> </w:t>
      </w:r>
    </w:p>
    <w:tbl>
      <w:tblPr>
        <w:tblW w:w="6606" w:type="dxa"/>
        <w:jc w:val="left"/>
        <w:tblInd w:w="0" w:type="dxa"/>
        <w:tblLayout w:type="fixed"/>
        <w:tblCellMar>
          <w:top w:w="0" w:type="dxa"/>
          <w:left w:w="0" w:type="dxa"/>
          <w:bottom w:w="0" w:type="dxa"/>
          <w:right w:w="0" w:type="dxa"/>
        </w:tblCellMar>
      </w:tblPr>
      <w:tblGrid>
        <w:gridCol w:w="3950"/>
        <w:gridCol w:w="60"/>
        <w:gridCol w:w="204"/>
        <w:gridCol w:w="966"/>
        <w:gridCol w:w="98"/>
        <w:gridCol w:w="98"/>
        <w:gridCol w:w="204"/>
        <w:gridCol w:w="966"/>
        <w:gridCol w:w="6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Tovecimig</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8,112</w:t>
            </w:r>
          </w:p>
        </w:tc>
        <w:tc>
          <w:tcPr>
            <w:tcW w:w="6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CTX-471</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p>
        </w:tc>
        <w:tc>
          <w:tcPr>
            <w:tcW w:w="6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CTX-8371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6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CTX-10726</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w:t>
            </w:r>
          </w:p>
        </w:tc>
        <w:tc>
          <w:tcPr>
            <w:tcW w:w="6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research and development expenses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19,576</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$2.8 million, or 59%, for the three months ended June 30, 2026 as compared to the same period in 2025. The increase was primarily due to an increase of $1.4 million of pre-commercialization expenses and an increase of $0.8 million of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results of operations for the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2210"/>
        <w:gridCol w:w="60"/>
        <w:gridCol w:w="125"/>
        <w:gridCol w:w="650"/>
        <w:gridCol w:w="80"/>
        <w:gridCol w:w="60"/>
        <w:gridCol w:w="125"/>
        <w:gridCol w:w="650"/>
        <w:gridCol w:w="80"/>
        <w:gridCol w:w="60"/>
        <w:gridCol w:w="125"/>
        <w:gridCol w:w="545"/>
        <w:gridCol w:w="8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Research and development expenses increased by $3.5 million, or 12%, for the six months ended June 30, 2026, as compared to the six months ended June 30, 2025. This was primarily driven by an increase of $2.5 million of stock-based compensation expense and $1.3 million of manufacturing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track outsourced development, personnel costs and other research and development costs of specific programs. Research and development expenses are summarized by program in the table below (in thousands):</w:t>
      </w:r>
    </w:p>
    <w:p>
      <w:pPr>
        <w:pStyle w:val="TextBody"/>
        <w:bidi w:val="0"/>
        <w:spacing w:before="0" w:after="0"/>
        <w:ind w:left="0" w:right="0" w:hanging="0"/>
        <w:jc w:val="left"/>
        <w:rPr>
          <w:caps w:val="false"/>
          <w:smallCaps w:val="false"/>
        </w:rPr>
      </w:pPr>
      <w:r>
        <w:rPr>
          <w:caps w:val="false"/>
          <w:smallCaps w:val="false"/>
        </w:rPr>
        <w:t> </w:t>
      </w:r>
    </w:p>
    <w:tbl>
      <w:tblPr>
        <w:tblW w:w="6368" w:type="dxa"/>
        <w:jc w:val="left"/>
        <w:tblInd w:w="0" w:type="dxa"/>
        <w:tblLayout w:type="fixed"/>
        <w:tblCellMar>
          <w:top w:w="0" w:type="dxa"/>
          <w:left w:w="0" w:type="dxa"/>
          <w:bottom w:w="0" w:type="dxa"/>
          <w:right w:w="0" w:type="dxa"/>
        </w:tblCellMar>
      </w:tblPr>
      <w:tblGrid>
        <w:gridCol w:w="3950"/>
        <w:gridCol w:w="60"/>
        <w:gridCol w:w="185"/>
        <w:gridCol w:w="875"/>
        <w:gridCol w:w="89"/>
        <w:gridCol w:w="89"/>
        <w:gridCol w:w="185"/>
        <w:gridCol w:w="875"/>
        <w:gridCol w:w="6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Tovecimig</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18,941</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15,045</w:t>
            </w:r>
          </w:p>
        </w:tc>
        <w:tc>
          <w:tcPr>
            <w:tcW w:w="6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CTX-471</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4,759</w:t>
            </w:r>
          </w:p>
        </w:tc>
        <w:tc>
          <w:tcPr>
            <w:tcW w:w="6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CTX-8371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w:t>
            </w:r>
          </w:p>
        </w:tc>
        <w:tc>
          <w:tcPr>
            <w:tcW w:w="6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CTX-10726</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3,410</w:t>
            </w:r>
          </w:p>
        </w:tc>
        <w:tc>
          <w:tcPr>
            <w:tcW w:w="6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research and development expenses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5,289</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32,968</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$4.8 million, or 50%, for the six months ended June 30, 2026 as compared to the same period in 2025. This was primarily driven by an increase of $1.8 million of pre-commercialization expenses, an increase of $1.3 million of personnel expenses related to commercialization and an increase of $2.1 million of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Since our inception, we have devoted substantially all of our efforts to organizing and staffing our Company, business planning, raising capital, research and development activities, building our intellectual property portfolio and providing general and administrative support for these operations. We have funded our operations primarily with proceeds from the sale of our equity securities. Through June 30, 2026, we have received $568 million in gross proceeds from the sale of equity securities. As of June 30, 2026, we had cash, cash equivalents and marketable securities of $180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shows a summary of our cash flows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6267" w:type="dxa"/>
        <w:jc w:val="left"/>
        <w:tblInd w:w="0" w:type="dxa"/>
        <w:tblLayout w:type="fixed"/>
        <w:tblCellMar>
          <w:top w:w="0" w:type="dxa"/>
          <w:left w:w="0" w:type="dxa"/>
          <w:bottom w:w="0" w:type="dxa"/>
          <w:right w:w="0" w:type="dxa"/>
        </w:tblCellMar>
      </w:tblPr>
      <w:tblGrid>
        <w:gridCol w:w="3830"/>
        <w:gridCol w:w="60"/>
        <w:gridCol w:w="170"/>
        <w:gridCol w:w="884"/>
        <w:gridCol w:w="108"/>
        <w:gridCol w:w="81"/>
        <w:gridCol w:w="170"/>
        <w:gridCol w:w="884"/>
        <w:gridCol w:w="8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(32,007</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33,452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5,228</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4,810</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we used $32.0 million of cash in operating activities, resulting from our net loss of $43.5 million, partially offset by the change in operating assets and liabilities of $1.2 million and non-cash charges of $10.2 million (primarily from share-based compensation expense of $9.9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2025, we used $25.0 million of cash in operating activities, resulting from our net loss of $36.5, million partially offset by the change in operating assets and liabilities of $5.5 million and non-cash charges of $5.9 million (primarily from share-based compensation expense of $5.3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$33.5 million of cash was provided by investing activities related to the net sales of marketable securities. During the six months ended June 30, 2025, $5.2 million of cash was provided by investing activities related to the net sale of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$3.9 million of cash was provided by financing activities due to the exercise of stock options, partially offset by $0.5 million of taxes paid by us for settlement of RSU shares. During the six months ended June 30, 2025, $0.8 million of cash was used in financing activities due to taxes paid by us for settlement of RSU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Future Funding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expect our expenses to increase substantially in connection with our ongoing activities. The timing and amount of our operating expenditures will depend largely 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initiation, progress, timing, costs and results of clinical trials for our product candidates or any future product candidates we may develop;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initiation, progress, timing, costs and results of nonclinical studies for our product candidates or any future product candidates we may develop;</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70"/>
        <w:gridCol w:w="5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maintain our relationships with key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competing technological and market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costs of continuing to grow our business, including hiring key personnel and maintaining or acquiring operating space;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acceptance of any approved product candidates, including product pricing, as well as product coverage and the adequacy of reimbursement by third-party payors;</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 of acquiring, licensing or investing in additional businesses, products, product candidates and technologies;</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60"/>
        <w:gridCol w:w="170"/>
        <w:gridCol w:w="8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 and timing of selecting and validating a manufacturing site for commercial-scale manufacturing;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 of establishing sales, marketing and distribution capabilities for any product candidates for which we may receive regulatory approval and that we determine to commercialize.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believe that our existing cash, cash equivalents and marketable securities as of filing of this Quarterly Report on Form 10-Q will enable us to fund our operating expenses and capital expenditure requirements into 2028. We have based this estimate on assumptions that may prove to be wrong, and we could exhaust our available capital resources sooner than we expect. Our current plans, which may change based on clinical or pre-clinical results, include studies for tovecimig, CTX-471, CTX-8371 and CTX-10726. We expect that we will require additional funding to complete the clinical development of these programs including the payment of developmental milestones, commercializing our product candidates, if we receive regulatory approval, and pursuing in-licenses or acquisitions of other product candidates. If we receive regulatory approval for tovecimig, CTX-471, CTX-8371, CTX-10726 or other product candidates, we expect to incur significant commercialization expenses related to product manufacturing, sales, marketing and distribution, depending on where we choose to commercialize these product candidates ourselves.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Until such time, if ever, as we can generate substantial product revenue, we expect to finance our cash needs through a combination of equity and debt financings,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Critical Accounting Estimates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consolidated financial statements are prepared in accordance with generally accepted accounting principles in the United States ("GAAP"). The preparation of our consolidated financial statements and related disclosures requires us to make estimates and judgments that affect the reported amounts of assets and liabilities, the disclosure of contingent assets and liabilities at the date of the consolidated financial statements and the reported amount of revenue and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there were no material changes to our critical accounting estimates described under "Management’s Discussion and Analysis of Financial Condition and Results of Operations" in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Issued and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description of recently issued accounting pronouncements that may potentially impact our financial position and results of operations is disclosed in Note 2, “Summary of Significant Accounting Policies” to our condensed financial statements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as defined in the Securities Exchange Act of 1934, as amended (the “Exchange Act”). We may continue to be a smaller reporting company if either (i) the market value of our shares held by non-affiliates is less than $250 million as of the last business day of the most recently completed second fiscal quarter or (ii) our annual revenue was less than $100 million during the most recently completed fiscal year and the market value of our shares held by non-affiliates was less than $700 million as of the last business day of the most recently completed second fiscal quarter. As a smaller reporting company, we may choose to present only the two most recent fiscal years of audited financial statements in our Annual Report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bookmarkStart w:id="10" w:name="p1i3"/>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Controls and Procedures.</w:t>
      </w:r>
      <w:bookmarkStart w:id="11" w:name="p1i4"/>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Evaluation of Our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(Principal Executive Officer) and Chief Financial Officer (Principal Financial Officer), evaluated the effectiveness of our disclosure controls and procedures, as defined in Rules 13a-15(e) and 15d-15(e) under the Exchange Act, as of June 30, 2026.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(Principal Executive Officer) and Chief Financial Officer (Principal Financial Officer) concluded that, as of such date, our disclosure controls and procedures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as defined in Rules 13a-15(f) and 15d-15(f) under the Exchange Act, that occurred during the quarter ended June 30, 2026 that has materially affected, or is reasonably likely to materially affect, our internal control over financial reporting.</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bookmarkStart w:id="12" w:name="p2"/>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bookmarkStart w:id="13" w:name="p2i1"/>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of the date of this Quarterly Report on Form 10-Q, we are not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bookmarkStart w:id="14" w:name="p2i1a"/>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addition to the other information set forth in this report, you should carefully consider the risk factors discussed in Part I, Item 1A “Risk Factors” in our </w:t>
      </w:r>
      <w:hyperlink r:id="rId5">
        <w:r>
          <w:rPr>
            <w:rStyle w:val="InternetLink"/>
            <w:rFonts w:ascii="Times New Roman" w:hAnsi="Times New Roman"/>
            <w:caps w:val="false"/>
            <w:smallCaps w:val="false"/>
            <w:sz w:val="20"/>
          </w:rPr>
          <w:t>Annual Report on Form 10-K for the fiscal year ended December 31, 2025</w:t>
        </w:r>
      </w:hyperlink>
      <w:r>
        <w:rPr>
          <w:rFonts w:ascii="Times New Roman" w:hAnsi="Times New Roman"/>
          <w:caps w:val="false"/>
          <w:smallCaps w:val="false"/>
          <w:sz w:val="20"/>
        </w:rPr>
        <w:t>, which could materially affect our business, financial condition, or results of operations. There has been no material change in the risk factors described in our Annual Report on Form 10-K for the year ended December 31, 2025, with the exception of the following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second amended and restated bylaws designate certain courts as the sole and exclusive forum for certain types of actions and proceedings that may be initiated by our stockholders, which could limit our stockholders</w:t>
      </w:r>
      <w:r>
        <w:rPr>
          <w:rFonts w:ascii="Times New Roman" w:hAnsi="Times New Roman"/>
          <w:caps w:val="false"/>
          <w:smallCaps w:val="false"/>
          <w:sz w:val="20"/>
        </w:rPr>
        <w:t>’ </w:t>
      </w:r>
      <w:r>
        <w:rPr>
          <w:rFonts w:ascii="Times New Roman" w:hAnsi="Times New Roman"/>
          <w:b/>
          <w:i/>
          <w:caps w:val="false"/>
          <w:smallCaps w:val="false"/>
          <w:sz w:val="20"/>
        </w:rPr>
        <w:t>ability to obtain a favorable judicial forum for disputes with us or our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second amended and restated bylaws (the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DGCL, our amended and restated certificate of incorporation or our bylaws (in each case, as they may be amended form time to time), (iv) any action to interpret, apply, enforce or determine the validity of our amended and restated certificate of incorporation or our bylaws (in each case, as they may be amended form time to time) or (v) any action asserting a claim against us that is governed by the internal affairs doctrine; provided, however, that this exclusive forum provision will not apply to any causes of action arising under the Securities Act of 1933, as amended (the “Securities Act") or the Exchange Act. Our bylaws further provide that, unless we consent in writing to an alternative forum, the United States District Courts for the District of Delaware and District of Massachusetts will be the sole and exclusive forums for resolving any complaint asserting a cause of action arising under the Securities Act. In addition, our bylaws provides that any person or entity purchasing or otherwise acquiring any interest in shares of our capital stock is deemed to have notice of and consented to the foregoing provisions. We recognize that the forum selection clause in our bylaws may impose additional litigation costs on stockholders in pursuing any such claims, particularly if the stockholders do not reside in or near the State of Delaware or the Commonwealth of Massachusetts, as applicable.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Courts for the District of Delaware 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business could be adversely affected by economic downturns, inflation, increases in interest rates, natural disasters, public health crises, political crises, government shutdowns, geopolitical events, or other macroeconomic conditions, which could have a material and adverse effect on our results of operations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international tariffs and uncertainty about economic stability. The Federal Reserve had raised interest rates multiple times in response to concerns about inflation until recently, and it may raise them again. Higher interest rates, coupled with reduced government spending and volatility in financial markets, may increase economic uncertainty and affect consumer spending. In addition, in July 2026, the U.S. imposed tariffs ranging from approximately 10% - 12.5% on virtually all imports to the U.S. The U.S. has also imposed significantly higher tariffs applicable to certain imports in select industries, including certain pharmaceuticals. These actions have resulted in other countries imposing additional tariffs on imports from the U.S., and may result in more retaliatory tariffs. Current or future tariffs will result in increased research and development expenses, including with respect to increased costs associated with active pharmaceutical ingredients, raw materials, laboratory equipment and research materials and components. There can be no assurance that deterioration in credit and financial markets and confidence in economic conditions will not occur. Similarly, global geopolitical disruptions, including civil or political unrest or military conflicts such as between Russia and Ukraine, between the U.S. and Iran in the Middle East and U.S.’s rising tensions with China have created extreme volatility in the global capital markets and commodity prices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bookmarkStart w:id="15" w:name="p2i2"/>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bookmarkStart w:id="16" w:name="p2i3"/>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bookmarkStart w:id="17" w:name="p2i4"/>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 Other Information.</w:t>
      </w:r>
      <w:bookmarkStart w:id="18" w:name="p2i5"/>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three-month period ended June 30, 2026, none of our directors or officers (as defined in Rule 16a-1(f) of the Securities Exchange Act of 1934, as amended) adopted, terminated or modified a Rule 10b5-1 trading arrangement or any “non-Rule 10b5-1 trading agreement” (as defined in Item 408(c)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 Exhibits.</w:t>
      </w:r>
      <w:bookmarkStart w:id="19" w:name="p2i6"/>
      <w:bookmarkEnd w:id="19"/>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2"/>
        <w:gridCol w:w="60"/>
        <w:gridCol w:w="9403"/>
      </w:tblGrid>
      <w:tr>
        <w:trPr/>
        <w:tc>
          <w:tcPr>
            <w:tcW w:w="742"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403"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Amended and Restated Certificate of Incorporation (incorporated by reference to Exhibit 3.2 to the Current Report on Form 8-K filed with the SEC on June 23, 2020).</w:t>
              </w:r>
            </w:hyperlink>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Amended and Restated Bylaws (incorporated by reference to Exhibit 3.1 to the Current Report on Form 8-K filed with the SEC on June 23, 2026).</w:t>
              </w:r>
            </w:hyperlink>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Form of Pre-Funded Warrant (incorporated by reference to Exhibit 4.1 to the Current Report on Form 8-K filed with the SEC on August 13, 2025).</w:t>
              </w:r>
            </w:hyperlink>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403" w:type="dxa"/>
            <w:tcBorders/>
            <w:tcMar>
              <w:bottom w:w="0" w:type="dxa"/>
            </w:tcMar>
            <w:vAlign w:val="center"/>
          </w:tcPr>
          <w:p>
            <w:pPr>
              <w:pStyle w:val="TableContents"/>
              <w:bidi w:val="0"/>
              <w:spacing w:before="0" w:after="0"/>
              <w:ind w:left="0" w:right="0" w:hanging="0"/>
              <w:jc w:val="left"/>
              <w:rPr/>
            </w:pPr>
            <w:hyperlink w:anchor="ex_994899.htm">
              <w:r>
                <w:rPr>
                  <w:rStyle w:val="InternetLink"/>
                  <w:rFonts w:ascii="Times New Roman" w:hAnsi="Times New Roman"/>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403" w:type="dxa"/>
            <w:tcBorders/>
            <w:tcMar>
              <w:bottom w:w="0" w:type="dxa"/>
            </w:tcMar>
            <w:vAlign w:val="center"/>
          </w:tcPr>
          <w:p>
            <w:pPr>
              <w:pStyle w:val="TableContents"/>
              <w:bidi w:val="0"/>
              <w:spacing w:before="0" w:after="0"/>
              <w:ind w:left="0" w:right="0" w:hanging="0"/>
              <w:jc w:val="left"/>
              <w:rPr/>
            </w:pPr>
            <w:hyperlink w:anchor="ex_994900.htm">
              <w:r>
                <w:rPr>
                  <w:rStyle w:val="InternetLink"/>
                  <w:rFonts w:ascii="Times New Roman" w:hAnsi="Times New Roman"/>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403" w:type="dxa"/>
            <w:tcBorders/>
            <w:tcMar>
              <w:bottom w:w="0" w:type="dxa"/>
            </w:tcMar>
            <w:vAlign w:val="center"/>
          </w:tcPr>
          <w:p>
            <w:pPr>
              <w:pStyle w:val="TableContents"/>
              <w:bidi w:val="0"/>
              <w:spacing w:before="0" w:after="0"/>
              <w:ind w:left="0" w:right="0" w:hanging="0"/>
              <w:jc w:val="left"/>
              <w:rPr/>
            </w:pPr>
            <w:hyperlink w:anchor="ex_994901.htm">
              <w:r>
                <w:rPr>
                  <w:rStyle w:val="InternetLink"/>
                  <w:rFonts w:ascii="Times New Roman" w:hAnsi="Times New Roman"/>
                  <w:caps w:val="false"/>
                  <w:smallCaps w:val="false"/>
                  <w:sz w:val="20"/>
                </w:rPr>
                <w:t>Certification of Principal Executive Officer Pursuant to 18 U.S.C. Section 1350, as Adopted Pursuant to Section 906 of the Sarbanes-Oxley Act of 2002.</w:t>
              </w:r>
            </w:hyperlink>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403" w:type="dxa"/>
            <w:tcBorders/>
            <w:tcMar>
              <w:bottom w:w="0" w:type="dxa"/>
            </w:tcMar>
            <w:vAlign w:val="center"/>
          </w:tcPr>
          <w:p>
            <w:pPr>
              <w:pStyle w:val="TableContents"/>
              <w:bidi w:val="0"/>
              <w:spacing w:before="0" w:after="0"/>
              <w:ind w:left="0" w:right="0" w:hanging="0"/>
              <w:jc w:val="left"/>
              <w:rPr/>
            </w:pPr>
            <w:hyperlink w:anchor="ex_994902.htm">
              <w:r>
                <w:rPr>
                  <w:rStyle w:val="InternetLink"/>
                  <w:rFonts w:ascii="Times New Roman" w:hAnsi="Times New Roman"/>
                  <w:caps w:val="false"/>
                  <w:smallCaps w:val="false"/>
                  <w:sz w:val="20"/>
                </w:rPr>
                <w:t>Certification of Principal Financial Officer Pursuant to 18 U.S.C. Section 1350, as Adopted Pursuant to Section 906 of the Sarbanes-Oxley Act of 2002.</w:t>
              </w:r>
            </w:hyperlink>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40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Interactive Data File because its XBRL tags are embedded within the Inline XBRL Document</w:t>
            </w:r>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283"/>
              <w:jc w:val="left"/>
              <w:rPr/>
            </w:pPr>
            <w:r>
              <w:rPr/>
              <w:t> </w:t>
            </w:r>
          </w:p>
        </w:tc>
      </w:tr>
      <w:tr>
        <w:trPr/>
        <w:tc>
          <w:tcPr>
            <w:tcW w:w="74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0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w:t>
      </w:r>
    </w:p>
    <w:tbl>
      <w:tblPr>
        <w:tblW w:w="1360" w:type="dxa"/>
        <w:jc w:val="left"/>
        <w:tblInd w:w="0" w:type="dxa"/>
        <w:tblLayout w:type="fixed"/>
        <w:tblCellMar>
          <w:top w:w="0" w:type="dxa"/>
          <w:left w:w="0" w:type="dxa"/>
          <w:bottom w:w="0" w:type="dxa"/>
          <w:right w:w="0" w:type="dxa"/>
        </w:tblCellMar>
      </w:tblPr>
      <w:tblGrid>
        <w:gridCol w:w="125"/>
        <w:gridCol w:w="123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exhibit is being furnished and shall not be deemed to be “filed” for purposes of Section 18 of the Exchange Act, or otherwise subject to the liability of that section, nor shall such exhibits be deemed to be incorporated by reference in any registration statement or other document filed under the Securities Act or the Exchange Act, except as otherwise stated in such filing.</w:t>
            </w:r>
          </w:p>
        </w:tc>
      </w:tr>
    </w:tbl>
    <w:p>
      <w:pPr>
        <w:pStyle w:val="TextBody"/>
        <w:bidi w:val="0"/>
        <w:spacing w:before="0" w:after="0"/>
        <w:ind w:left="500" w:right="0" w:hanging="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0" w:name="sign"/>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Exchange Act,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745"/>
        <w:gridCol w:w="60"/>
        <w:gridCol w:w="320"/>
        <w:gridCol w:w="2465"/>
      </w:tblGrid>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78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Compass Therapeutics, Inc.</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Thomas Schuetz</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Thomas Schuetz</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Barry Shin</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Barry Shin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Financial Officer</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Neil Lerner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Neil Lerner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Accounting Officer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26</w:t>
      </w:r>
    </w:p>
    <w:p>
      <w:pPr>
        <w:pStyle w:val="TextBody"/>
        <w:bidi w:val="0"/>
        <w:spacing w:before="0" w:after="0"/>
        <w:ind w:left="0" w:right="0" w:hanging="0"/>
        <w:jc w:val="right"/>
        <w:rPr>
          <w:rFonts w:ascii="Times New Roman" w:hAnsi="Times New Roman"/>
          <w:b/>
          <w:caps w:val="false"/>
          <w:smallCaps w:val="false"/>
          <w:sz w:val="20"/>
        </w:rPr>
      </w:pPr>
      <w:bookmarkStart w:id="21" w:name="ex_994899.htm"/>
      <w:bookmarkStart w:id="22" w:name="ksex_994899"/>
      <w:bookmarkEnd w:id="21"/>
      <w:bookmarkEnd w:id="22"/>
      <w:r>
        <w:rPr>
          <w:rFonts w:ascii="Times New Roman" w:hAnsi="Times New Roman"/>
          <w:b/>
          <w:caps w:val="false"/>
          <w:smallCaps w:val="false"/>
          <w:sz w:val="20"/>
        </w:rPr>
        <w:t>Exhibit 31.1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Thomas Schuetz, certify that:</w:t>
      </w:r>
    </w:p>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Compass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745"/>
        <w:gridCol w:w="60"/>
        <w:gridCol w:w="320"/>
        <w:gridCol w:w="234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Thomas Schuetz</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Thomas Schuetz</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994900.htm"/>
      <w:bookmarkStart w:id="24" w:name="ksex_994900"/>
      <w:bookmarkEnd w:id="23"/>
      <w:bookmarkEnd w:id="24"/>
      <w:r>
        <w:rPr>
          <w:rFonts w:ascii="Times New Roman" w:hAnsi="Times New Roman"/>
          <w:b/>
          <w:caps w:val="false"/>
          <w:smallCaps w:val="false"/>
          <w:sz w:val="20"/>
        </w:rPr>
        <w:t>Exhibit 31.2</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Barry Shin, certify that:</w:t>
      </w:r>
    </w:p>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Compass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745"/>
        <w:gridCol w:w="60"/>
        <w:gridCol w:w="320"/>
        <w:gridCol w:w="231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Barry Shin</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Barry Shin</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Financial Officer</w:t>
            </w:r>
          </w:p>
        </w:tc>
      </w:tr>
    </w:tbl>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caps w:val="false"/>
          <w:smallCaps w:val="false"/>
          <w:sz w:val="20"/>
        </w:rPr>
      </w:pPr>
      <w:bookmarkStart w:id="25" w:name="ex_994901.htm"/>
      <w:bookmarkStart w:id="26" w:name="ksex_994901"/>
      <w:bookmarkEnd w:id="25"/>
      <w:bookmarkEnd w:id="26"/>
      <w:r>
        <w:rPr>
          <w:rFonts w:ascii="Times New Roman;Times;serif" w:hAnsi="Times New Roman;Times;serif"/>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Compass Therapeutics, Inc.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745"/>
        <w:gridCol w:w="60"/>
        <w:gridCol w:w="320"/>
        <w:gridCol w:w="234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Thomas Schuetz</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Thomas Schuetz</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994902.htm"/>
      <w:bookmarkStart w:id="28" w:name="ksex_994902"/>
      <w:bookmarkEnd w:id="27"/>
      <w:bookmarkEnd w:id="28"/>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Compass Therapeutics, Inc.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745"/>
        <w:gridCol w:w="60"/>
        <w:gridCol w:w="320"/>
        <w:gridCol w:w="2315"/>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Barry Shin</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Barry Shin</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738021/000117184326001337/cmpx20251231_10k.htm" TargetMode="External"/><Relationship Id="rId3" Type="http://schemas.openxmlformats.org/officeDocument/2006/relationships/hyperlink" Target="http://www.sec.gov/ix?doc=/Archives/edgar/data/1738021/000117184326001337/cmpx20251231_10k.htm" TargetMode="External"/><Relationship Id="rId4" Type="http://schemas.openxmlformats.org/officeDocument/2006/relationships/hyperlink" Target="http://www.sec.gov/ix?doc=/Archives/edgar/data/1738021/000117184326001337/cmpx20251231_10k.htm" TargetMode="External"/><Relationship Id="rId5" Type="http://schemas.openxmlformats.org/officeDocument/2006/relationships/hyperlink" Target="http://www.sec.gov/ix?doc=/Archives/edgar/data/1738021/000117184326001337/cmpx20251231_10k.htm" TargetMode="External"/><Relationship Id="rId6" Type="http://schemas.openxmlformats.org/officeDocument/2006/relationships/hyperlink" Target="http://www.sec.gov/Archives/edgar/data/1738021/000121390020015594/ea123278ex3-2_compass.htm" TargetMode="External"/><Relationship Id="rId7" Type="http://schemas.openxmlformats.org/officeDocument/2006/relationships/hyperlink" Target="http://www.sec.gov/Archives/edgar/data/1738021/000117184326004224/exh_31.htm" TargetMode="External"/><Relationship Id="rId8" Type="http://schemas.openxmlformats.org/officeDocument/2006/relationships/hyperlink" Target="http://www.sec.gov/Archives/edgar/data/1738021/000119312525179958/d153873d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12563</Words>
  <Characters>69971</Characters>
  <CharactersWithSpaces>83841</CharactersWithSpaces>
  <Paragraphs>4582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