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Lerner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COMPASS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 SUITE 601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Therapeutics, Inc.</w:t>
              </w:r>
            </w:hyperlink>
            <w:r>
              <w:rPr/>
              <w:t xml:space="preserve"> [ </w:t>
            </w:r>
            <w:r>
              <w:rPr>
                <w:rFonts w:ascii="Times;serif" w:hAnsi="Times;serif"/>
                <w:color w:val="0000FF"/>
                <w:sz w:val="24"/>
                <w:shd w:fill="FFFFFF" w:val="clear"/>
              </w:rPr>
              <w:t>CMPX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04/29/2026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933"/>
        <w:gridCol w:w="456"/>
        <w:gridCol w:w="671"/>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397,500</w:t>
            </w:r>
            <w:r>
              <w:rPr>
                <w:rFonts w:ascii="Times;serif" w:hAnsi="Times;serif"/>
                <w:color w:val="008000"/>
                <w:position w:val="7"/>
                <w:sz w:val="16"/>
                <w:sz w:val="20"/>
                <w:shd w:fill="FFFFFF" w:val="clear"/>
              </w:rPr>
              <w:t>(1)</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62,500 of the shares represents unvested restricted stock units ("RSU") granted on January 2, 2026. Each RSU represents a contingent right to receive one share of common stock. The award is subject to service-based vesting conditions and vests in four equal annual installments, with the first installment vested on January 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Explanatory Note: This amendment is being filed to correct the transaction code reported in Table I of the original Form 4 filed on April 29, 2026. The transaction was inadvertently reported using transaction code A. The correct transaction code is P, which reflects that the transaction was an open market purchase. All other information in the original filing remains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Neil Lerner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148" TargetMode="External"/><Relationship Id="rId5" Type="http://schemas.openxmlformats.org/officeDocument/2006/relationships/hyperlink" Target="http://www.sec.gov/cgi-bin/browse-edgar?action=getcompany&amp;CIK=00017380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3689</Characters>
  <CharactersWithSpaces>4307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