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405765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62230</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3820" w:right="1600" w:hanging="3812"/>
        <w:spacing w:after="0" w:line="490" w:lineRule="auto"/>
        <w:tabs>
          <w:tab w:leader="none" w:pos="50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2026</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2780" w:right="1580" w:hanging="2772"/>
        <w:spacing w:after="0" w:line="500" w:lineRule="auto"/>
        <w:tabs>
          <w:tab w:leader="none" w:pos="485"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_________________ to _________________</w:t>
      </w:r>
    </w:p>
    <w:p>
      <w:pPr>
        <w:spacing w:after="0" w:line="1" w:lineRule="exact"/>
        <w:rPr>
          <w:rFonts w:ascii="MS PGothic" w:cs="MS PGothic" w:eastAsia="MS PGothic" w:hAnsi="MS PGothic"/>
          <w:sz w:val="18"/>
          <w:szCs w:val="18"/>
          <w:color w:val="auto"/>
        </w:rPr>
      </w:pPr>
    </w:p>
    <w:p>
      <w:pPr>
        <w:ind w:left="42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Commission File Number: 001-39696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COMPASS THERAPEUTICS,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38735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03" w:lineRule="exact"/>
        <w:rPr>
          <w:sz w:val="24"/>
          <w:szCs w:val="24"/>
          <w:color w:val="auto"/>
        </w:rPr>
      </w:pPr>
    </w:p>
    <w:tbl>
      <w:tblPr>
        <w:tblLayout w:type="fixed"/>
        <w:tblInd w:w="1320" w:type="dxa"/>
        <w:tblCellMar>
          <w:top w:w="0" w:type="dxa"/>
          <w:left w:w="0" w:type="dxa"/>
          <w:bottom w:w="0" w:type="dxa"/>
          <w:right w:w="0" w:type="dxa"/>
        </w:tblCellMar>
      </w:tblPr>
      <w:tr>
        <w:trPr>
          <w:trHeight w:val="216"/>
        </w:trPr>
        <w:tc>
          <w:tcPr>
            <w:tcW w:w="468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1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82-4876496</w:t>
            </w:r>
          </w:p>
        </w:tc>
      </w:tr>
      <w:tr>
        <w:trPr>
          <w:trHeight w:val="216"/>
        </w:trPr>
        <w:tc>
          <w:tcPr>
            <w:tcW w:w="468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3140" w:type="dxa"/>
            <w:vAlign w:val="bottom"/>
          </w:tcPr>
          <w:p>
            <w:pPr>
              <w:jc w:val="center"/>
              <w:ind w:left="16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68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3140" w:type="dxa"/>
            <w:vAlign w:val="bottom"/>
          </w:tcPr>
          <w:p>
            <w:pPr>
              <w:jc w:val="center"/>
              <w:ind w:left="163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4680" w:type="dxa"/>
            <w:vAlign w:val="bottom"/>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w w:val="99"/>
              </w:rPr>
              <w:t>80 Guest St., Suite 601</w:t>
            </w:r>
          </w:p>
        </w:tc>
        <w:tc>
          <w:tcPr>
            <w:tcW w:w="3140" w:type="dxa"/>
            <w:vAlign w:val="bottom"/>
          </w:tcPr>
          <w:p>
            <w:pPr>
              <w:spacing w:after="0"/>
              <w:rPr>
                <w:sz w:val="24"/>
                <w:szCs w:val="24"/>
                <w:color w:val="auto"/>
              </w:rPr>
            </w:pPr>
          </w:p>
        </w:tc>
      </w:tr>
      <w:tr>
        <w:trPr>
          <w:trHeight w:val="216"/>
        </w:trPr>
        <w:tc>
          <w:tcPr>
            <w:tcW w:w="468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rPr>
              <w:t>Boston, Massachusetts</w:t>
            </w:r>
          </w:p>
        </w:tc>
        <w:tc>
          <w:tcPr>
            <w:tcW w:w="31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02135</w:t>
            </w:r>
          </w:p>
        </w:tc>
      </w:tr>
      <w:tr>
        <w:trPr>
          <w:trHeight w:val="238"/>
        </w:trPr>
        <w:tc>
          <w:tcPr>
            <w:tcW w:w="468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140" w:type="dxa"/>
            <w:vAlign w:val="bottom"/>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 (617) 500-8099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53975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3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9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410"/>
        </w:trPr>
        <w:tc>
          <w:tcPr>
            <w:tcW w:w="4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00" w:type="dxa"/>
            <w:vAlign w:val="bottom"/>
          </w:tcPr>
          <w:p>
            <w:pPr>
              <w:spacing w:after="0"/>
              <w:rPr>
                <w:sz w:val="24"/>
                <w:szCs w:val="24"/>
                <w:color w:val="auto"/>
              </w:rPr>
            </w:pPr>
          </w:p>
        </w:tc>
        <w:tc>
          <w:tcPr>
            <w:tcW w:w="4280" w:type="dxa"/>
            <w:vAlign w:val="bottom"/>
          </w:tcPr>
          <w:p>
            <w:pPr>
              <w:spacing w:after="0"/>
              <w:rPr>
                <w:sz w:val="24"/>
                <w:szCs w:val="24"/>
                <w:color w:val="auto"/>
              </w:rPr>
            </w:pPr>
          </w:p>
        </w:tc>
      </w:tr>
      <w:tr>
        <w:trPr>
          <w:trHeight w:val="238"/>
        </w:trPr>
        <w:tc>
          <w:tcPr>
            <w:tcW w:w="4980" w:type="dxa"/>
            <w:vAlign w:val="bottom"/>
            <w:gridSpan w:val="3"/>
          </w:tcPr>
          <w:p>
            <w:pPr>
              <w:ind w:left="15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88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00" w:type="dxa"/>
            <w:vAlign w:val="bottom"/>
          </w:tcPr>
          <w:p>
            <w:pPr>
              <w:spacing w:after="0"/>
              <w:rPr>
                <w:sz w:val="20"/>
                <w:szCs w:val="20"/>
                <w:color w:val="auto"/>
              </w:rPr>
            </w:pPr>
          </w:p>
        </w:tc>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8"/>
        </w:trPr>
        <w:tc>
          <w:tcPr>
            <w:tcW w:w="4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880" w:type="dxa"/>
            <w:vAlign w:val="bottom"/>
            <w:tcBorders>
              <w:top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color w:val="auto"/>
                <w:w w:val="97"/>
              </w:rPr>
              <w:t>CMPX</w:t>
            </w:r>
          </w:p>
        </w:tc>
        <w:tc>
          <w:tcPr>
            <w:tcW w:w="100" w:type="dxa"/>
            <w:vAlign w:val="bottom"/>
          </w:tcPr>
          <w:p>
            <w:pPr>
              <w:spacing w:after="0"/>
              <w:rPr>
                <w:sz w:val="19"/>
                <w:szCs w:val="19"/>
                <w:color w:val="auto"/>
              </w:rPr>
            </w:pPr>
          </w:p>
        </w:tc>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Capital Market</w:t>
            </w:r>
          </w:p>
        </w:tc>
      </w:tr>
    </w:tbl>
    <w:p>
      <w:pPr>
        <w:spacing w:after="0" w:line="179"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ind w:right="60"/>
        <w:spacing w:after="0" w:line="230"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right="100" w:firstLine="45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right="200" w:firstLine="45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2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82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Accelerated filer</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2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82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9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82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4"/>
          <w:szCs w:val="24"/>
          <w:color w:val="auto"/>
        </w:rPr>
      </w:pPr>
    </w:p>
    <w:p>
      <w:pPr>
        <w:ind w:right="60" w:firstLine="45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ind w:left="460"/>
        <w:spacing w:after="0" w:line="207" w:lineRule="exact"/>
        <w:tabs>
          <w:tab w:leader="none" w:pos="8840" w:val="left"/>
          <w:tab w:leader="none" w:pos="95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66"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April 30, 2026, the registrant had 180,087,915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651510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987"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120" w:type="dxa"/>
            <w:vAlign w:val="bottom"/>
            <w:gridSpan w:val="9"/>
          </w:tcPr>
          <w:p>
            <w:pPr>
              <w:ind w:left="13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26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0000EE"/>
                <w:w w:val="98"/>
              </w:rPr>
              <w:t>FINANCIAL INFORMATION</w:t>
            </w:r>
          </w:p>
        </w:tc>
        <w:tc>
          <w:tcPr>
            <w:tcW w:w="7280" w:type="dxa"/>
            <w:vAlign w:val="bottom"/>
            <w:gridSpan w:val="11"/>
            <w:vMerge w:val="restart"/>
          </w:tcPr>
          <w:p>
            <w:pPr>
              <w:spacing w:after="0"/>
              <w:rPr>
                <w:sz w:val="24"/>
                <w:szCs w:val="24"/>
                <w:color w:val="auto"/>
              </w:rPr>
            </w:pPr>
          </w:p>
        </w:tc>
        <w:tc>
          <w:tcPr>
            <w:tcW w:w="5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9"/>
        </w:trPr>
        <w:tc>
          <w:tcPr>
            <w:tcW w:w="1140" w:type="dxa"/>
            <w:vAlign w:val="bottom"/>
            <w:vMerge w:val="continue"/>
          </w:tcPr>
          <w:p>
            <w:pPr>
              <w:spacing w:after="0"/>
              <w:rPr>
                <w:sz w:val="14"/>
                <w:szCs w:val="14"/>
                <w:color w:val="auto"/>
              </w:rPr>
            </w:pPr>
          </w:p>
        </w:tc>
        <w:tc>
          <w:tcPr>
            <w:tcW w:w="2260" w:type="dxa"/>
            <w:vAlign w:val="bottom"/>
            <w:gridSpan w:val="9"/>
            <w:vMerge w:val="continue"/>
          </w:tcPr>
          <w:p>
            <w:pPr>
              <w:spacing w:after="0"/>
              <w:rPr>
                <w:sz w:val="14"/>
                <w:szCs w:val="14"/>
                <w:color w:val="auto"/>
              </w:rPr>
            </w:pPr>
          </w:p>
        </w:tc>
        <w:tc>
          <w:tcPr>
            <w:tcW w:w="7280" w:type="dxa"/>
            <w:vAlign w:val="bottom"/>
            <w:gridSpan w:val="11"/>
            <w:vMerge w:val="continue"/>
          </w:tcPr>
          <w:p>
            <w:pPr>
              <w:spacing w:after="0"/>
              <w:rPr>
                <w:sz w:val="14"/>
                <w:szCs w:val="14"/>
                <w:color w:val="auto"/>
              </w:rPr>
            </w:pPr>
          </w:p>
        </w:tc>
        <w:tc>
          <w:tcPr>
            <w:tcW w:w="560" w:type="dxa"/>
            <w:vAlign w:val="bottom"/>
            <w:tcBorders>
              <w:top w:val="single" w:sz="8" w:color="auto"/>
            </w:tcBorders>
            <w:gridSpan w:val="3"/>
          </w:tcPr>
          <w:p>
            <w:pPr>
              <w:jc w:val="right"/>
              <w:spacing w:after="0" w:line="169" w:lineRule="exact"/>
              <w:rPr>
                <w:sz w:val="20"/>
                <w:szCs w:val="20"/>
                <w:color w:val="auto"/>
              </w:rPr>
            </w:pPr>
            <w:r>
              <w:rPr>
                <w:rFonts w:ascii="Times New Roman" w:cs="Times New Roman" w:eastAsia="Times New Roman" w:hAnsi="Times New Roman"/>
                <w:sz w:val="18"/>
                <w:szCs w:val="18"/>
                <w:color w:val="0000EE"/>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5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 (Unaudited)</w:t>
            </w:r>
          </w:p>
        </w:tc>
        <w:tc>
          <w:tcPr>
            <w:tcW w:w="58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5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Balance Sheets (Unaudited)</w:t>
            </w:r>
          </w:p>
        </w:tc>
        <w:tc>
          <w:tcPr>
            <w:tcW w:w="58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4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Operations and Comprehensive Loss (Unaudited)</w:t>
            </w:r>
          </w:p>
        </w:tc>
        <w:tc>
          <w:tcPr>
            <w:tcW w:w="3100" w:type="dxa"/>
            <w:vAlign w:val="bottom"/>
            <w:gridSpan w:val="2"/>
          </w:tcPr>
          <w:p>
            <w:pPr>
              <w:spacing w:after="0"/>
              <w:rPr>
                <w:sz w:val="17"/>
                <w:szCs w:val="17"/>
                <w:color w:val="auto"/>
              </w:rPr>
            </w:pPr>
          </w:p>
        </w:tc>
        <w:tc>
          <w:tcPr>
            <w:tcW w:w="58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Stockholders’ Equity (Unaudited)</w:t>
            </w:r>
          </w:p>
        </w:tc>
        <w:tc>
          <w:tcPr>
            <w:tcW w:w="1140" w:type="dxa"/>
            <w:vAlign w:val="bottom"/>
          </w:tcPr>
          <w:p>
            <w:pPr>
              <w:spacing w:after="0"/>
              <w:rPr>
                <w:sz w:val="17"/>
                <w:szCs w:val="17"/>
                <w:color w:val="auto"/>
              </w:rPr>
            </w:pPr>
          </w:p>
        </w:tc>
        <w:tc>
          <w:tcPr>
            <w:tcW w:w="3100" w:type="dxa"/>
            <w:vAlign w:val="bottom"/>
            <w:gridSpan w:val="2"/>
          </w:tcPr>
          <w:p>
            <w:pPr>
              <w:spacing w:after="0"/>
              <w:rPr>
                <w:sz w:val="17"/>
                <w:szCs w:val="17"/>
                <w:color w:val="auto"/>
              </w:rPr>
            </w:pPr>
          </w:p>
        </w:tc>
        <w:tc>
          <w:tcPr>
            <w:tcW w:w="58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3</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Cash Flows (Unaudited)</w:t>
            </w:r>
          </w:p>
        </w:tc>
        <w:tc>
          <w:tcPr>
            <w:tcW w:w="4240" w:type="dxa"/>
            <w:vAlign w:val="bottom"/>
            <w:gridSpan w:val="3"/>
          </w:tcPr>
          <w:p>
            <w:pPr>
              <w:spacing w:after="0"/>
              <w:rPr>
                <w:sz w:val="17"/>
                <w:szCs w:val="17"/>
                <w:color w:val="auto"/>
              </w:rPr>
            </w:pPr>
          </w:p>
        </w:tc>
        <w:tc>
          <w:tcPr>
            <w:tcW w:w="58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4</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5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58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3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5180" w:type="dxa"/>
            <w:vAlign w:val="bottom"/>
            <w:gridSpan w:val="6"/>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80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7740" w:type="dxa"/>
            <w:vAlign w:val="bottom"/>
            <w:gridSpan w:val="13"/>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PART II.</w:t>
            </w:r>
          </w:p>
        </w:tc>
        <w:tc>
          <w:tcPr>
            <w:tcW w:w="95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58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22</w:t>
            </w: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540" w:type="dxa"/>
            <w:vAlign w:val="bottom"/>
            <w:tcBorders>
              <w:top w:val="single" w:sz="8" w:color="0000EE"/>
            </w:tcBorders>
            <w:gridSpan w:val="3"/>
          </w:tcPr>
          <w:p>
            <w:pPr>
              <w:spacing w:after="0"/>
              <w:rPr>
                <w:sz w:val="17"/>
                <w:szCs w:val="17"/>
                <w:color w:val="auto"/>
              </w:rPr>
            </w:pPr>
          </w:p>
        </w:tc>
        <w:tc>
          <w:tcPr>
            <w:tcW w:w="7660" w:type="dxa"/>
            <w:vAlign w:val="bottom"/>
            <w:gridSpan w:val="12"/>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5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58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22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5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58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23</w:t>
            </w: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5200" w:type="dxa"/>
            <w:vAlign w:val="bottom"/>
            <w:gridSpan w:val="7"/>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Mine Safety Disclosures</w:t>
            </w:r>
          </w:p>
        </w:tc>
        <w:tc>
          <w:tcPr>
            <w:tcW w:w="540" w:type="dxa"/>
            <w:vAlign w:val="bottom"/>
            <w:tcBorders>
              <w:top w:val="single" w:sz="8" w:color="0000EE"/>
            </w:tcBorders>
            <w:gridSpan w:val="4"/>
          </w:tcPr>
          <w:p>
            <w:pPr>
              <w:spacing w:after="0"/>
              <w:rPr>
                <w:sz w:val="17"/>
                <w:szCs w:val="17"/>
                <w:color w:val="auto"/>
              </w:rPr>
            </w:pPr>
          </w:p>
        </w:tc>
        <w:tc>
          <w:tcPr>
            <w:tcW w:w="7220" w:type="dxa"/>
            <w:vAlign w:val="bottom"/>
            <w:gridSpan w:val="10"/>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8220" w:type="dxa"/>
            <w:vAlign w:val="bottom"/>
            <w:gridSpan w:val="16"/>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5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58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23</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780" w:type="dxa"/>
            <w:vAlign w:val="bottom"/>
            <w:gridSpan w:val="18"/>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954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24</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Compass Therapeutics, Inc. and Subsidiaries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Balance Sheets</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par value)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6"/>
        </w:trPr>
        <w:tc>
          <w:tcPr>
            <w:tcW w:w="8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38"/>
        </w:trPr>
        <w:tc>
          <w:tcPr>
            <w:tcW w:w="8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(Note 1)</w:t>
            </w:r>
          </w:p>
        </w:tc>
      </w:tr>
      <w:tr>
        <w:trPr>
          <w:trHeight w:val="209"/>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55,168</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30,643</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Marketable securities</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139,519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178,263</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913</w:t>
            </w:r>
          </w:p>
        </w:tc>
      </w:tr>
      <w:tr>
        <w:trPr>
          <w:trHeight w:val="209"/>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195,687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209,819</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right-of-use ("ROU") asset</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8,746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9,099</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568</w:t>
            </w:r>
          </w:p>
        </w:tc>
      </w:tr>
      <w:tr>
        <w:trPr>
          <w:trHeight w:val="249"/>
        </w:trPr>
        <w:tc>
          <w:tcPr>
            <w:tcW w:w="80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205,170</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219,588</w:t>
            </w:r>
          </w:p>
        </w:tc>
      </w:tr>
      <w:tr>
        <w:trPr>
          <w:trHeight w:val="197"/>
        </w:trPr>
        <w:tc>
          <w:tcPr>
            <w:tcW w:w="80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1,585</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11,383</w:t>
            </w:r>
          </w:p>
        </w:tc>
      </w:tr>
      <w:tr>
        <w:trPr>
          <w:trHeight w:val="230"/>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obligations, current portion</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w:t>
            </w:r>
          </w:p>
        </w:tc>
      </w:tr>
      <w:tr>
        <w:trPr>
          <w:trHeight w:val="210"/>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10,279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13,968</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obligations, long-term portion</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8,418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8,829</w:t>
            </w:r>
          </w:p>
        </w:tc>
      </w:tr>
      <w:tr>
        <w:trPr>
          <w:trHeight w:val="210"/>
        </w:trPr>
        <w:tc>
          <w:tcPr>
            <w:tcW w:w="80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18,697</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22,797</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7)</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198"/>
        </w:trPr>
        <w:tc>
          <w:tcPr>
            <w:tcW w:w="800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$0.0001 par value: 300,000 shares authorized; 180,088 and 178,324 shares issued and</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34"/>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outstanding at March 31, 2026 and December 31, 2025, respectively</w:t>
            </w:r>
          </w:p>
        </w:tc>
        <w:tc>
          <w:tcPr>
            <w:tcW w:w="18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636,103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627,665</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280</w:t>
            </w:r>
          </w:p>
        </w:tc>
      </w:tr>
      <w:tr>
        <w:trPr>
          <w:trHeight w:val="216"/>
        </w:trPr>
        <w:tc>
          <w:tcPr>
            <w:tcW w:w="8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(449,489)</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(431,172)</w:t>
            </w:r>
          </w:p>
        </w:tc>
      </w:tr>
      <w:tr>
        <w:trPr>
          <w:trHeight w:val="210"/>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186,473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196,791</w:t>
            </w:r>
          </w:p>
        </w:tc>
      </w:tr>
      <w:tr>
        <w:trPr>
          <w:trHeight w:val="209"/>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205,170</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219,588</w:t>
            </w:r>
          </w:p>
        </w:tc>
      </w:tr>
      <w:tr>
        <w:trPr>
          <w:trHeight w:val="20"/>
        </w:trPr>
        <w:tc>
          <w:tcPr>
            <w:tcW w:w="8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5"/>
          <w:szCs w:val="25"/>
          <w:b w:val="1"/>
          <w:bCs w:val="1"/>
          <w:color w:val="auto"/>
        </w:rPr>
        <w:t>Compass Therapeutics,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Operations and Comprehensive Loss</w:t>
      </w:r>
    </w:p>
    <w:p>
      <w:pPr>
        <w:jc w:val="center"/>
        <w:spacing w:after="0" w:line="235" w:lineRule="auto"/>
        <w:rPr>
          <w:sz w:val="20"/>
          <w:szCs w:val="20"/>
          <w:color w:val="auto"/>
        </w:rPr>
      </w:pPr>
      <w:r>
        <w:rPr>
          <w:rFonts w:ascii="Times New Roman" w:cs="Times New Roman" w:eastAsia="Times New Roman" w:hAnsi="Times New Roman"/>
          <w:sz w:val="22"/>
          <w:szCs w:val="22"/>
          <w:b w:val="1"/>
          <w:bCs w:val="1"/>
          <w:color w:val="auto"/>
        </w:rPr>
        <w:t>(Unaudited)</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20" w:type="dxa"/>
            <w:vAlign w:val="bottom"/>
            <w:gridSpan w:val="5"/>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13,390</w:t>
            </w:r>
          </w:p>
        </w:tc>
        <w:tc>
          <w:tcPr>
            <w:tcW w:w="100" w:type="dxa"/>
            <w:vAlign w:val="bottom"/>
          </w:tcPr>
          <w:p>
            <w:pPr>
              <w:spacing w:after="0"/>
              <w:rPr>
                <w:sz w:val="18"/>
                <w:szCs w:val="18"/>
                <w:color w:val="auto"/>
              </w:rPr>
            </w:pPr>
          </w:p>
        </w:tc>
        <w:tc>
          <w:tcPr>
            <w:tcW w:w="42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13,054</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6,909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4,912</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20,299</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17,966</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(17,966)</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1,982</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1,333</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(18,317)</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(16,633)</w:t>
            </w: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0" w:type="dxa"/>
            <w:vAlign w:val="bottom"/>
            <w:tcBorders>
              <w:bottom w:val="single" w:sz="8" w:color="CCEEFF"/>
            </w:tcBorders>
            <w:vMerge w:val="continue"/>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(0.10)</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vMerge w:val="continue"/>
          </w:tcPr>
          <w:p>
            <w:pPr>
              <w:spacing w:after="0"/>
              <w:rPr>
                <w:sz w:val="17"/>
                <w:szCs w:val="17"/>
                <w:color w:val="auto"/>
              </w:rPr>
            </w:pPr>
          </w:p>
        </w:tc>
        <w:tc>
          <w:tcPr>
            <w:tcW w:w="4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weighted average shares outstanding</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186,400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138,236</w:t>
            </w:r>
          </w:p>
        </w:tc>
        <w:tc>
          <w:tcPr>
            <w:tcW w:w="0" w:type="dxa"/>
            <w:vAlign w:val="bottom"/>
          </w:tcPr>
          <w:p>
            <w:pPr>
              <w:spacing w:after="0"/>
              <w:rPr>
                <w:sz w:val="1"/>
                <w:szCs w:val="1"/>
                <w:color w:val="auto"/>
              </w:rPr>
            </w:pPr>
          </w:p>
        </w:tc>
      </w:tr>
      <w:tr>
        <w:trPr>
          <w:trHeight w:val="209"/>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(18,317)</w:t>
            </w:r>
          </w:p>
        </w:tc>
        <w:tc>
          <w:tcPr>
            <w:tcW w:w="100" w:type="dxa"/>
            <w:vAlign w:val="bottom"/>
          </w:tcPr>
          <w:p>
            <w:pPr>
              <w:spacing w:after="0"/>
              <w:rPr>
                <w:sz w:val="18"/>
                <w:szCs w:val="18"/>
                <w:color w:val="auto"/>
              </w:rPr>
            </w:pPr>
          </w:p>
        </w:tc>
        <w:tc>
          <w:tcPr>
            <w:tcW w:w="42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(16,633)</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(18,756)</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(16,653)</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5"/>
          <w:szCs w:val="25"/>
          <w:b w:val="1"/>
          <w:bCs w:val="1"/>
          <w:color w:val="auto"/>
        </w:rPr>
        <w:t>Compass Therapeutics,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Stockholders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Equity</w:t>
      </w:r>
    </w:p>
    <w:p>
      <w:pPr>
        <w:ind w:left="5060"/>
        <w:spacing w:after="0" w:line="235" w:lineRule="auto"/>
        <w:rPr>
          <w:sz w:val="20"/>
          <w:szCs w:val="20"/>
          <w:color w:val="auto"/>
        </w:rPr>
      </w:pPr>
      <w:r>
        <w:rPr>
          <w:rFonts w:ascii="Times New Roman" w:cs="Times New Roman" w:eastAsia="Times New Roman" w:hAnsi="Times New Roman"/>
          <w:sz w:val="22"/>
          <w:szCs w:val="22"/>
          <w:b w:val="1"/>
          <w:bCs w:val="1"/>
          <w:color w:val="auto"/>
        </w:rPr>
        <w:t>(Unaudited)</w:t>
      </w:r>
    </w:p>
    <w:p>
      <w:pPr>
        <w:ind w:left="506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2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38"/>
        </w:trPr>
        <w:tc>
          <w:tcPr>
            <w:tcW w:w="3280" w:type="dxa"/>
            <w:vAlign w:val="bottom"/>
          </w:tcPr>
          <w:p>
            <w:pPr>
              <w:spacing w:after="0"/>
              <w:rPr>
                <w:sz w:val="20"/>
                <w:szCs w:val="20"/>
                <w:color w:val="auto"/>
              </w:rPr>
            </w:pPr>
          </w:p>
        </w:tc>
        <w:tc>
          <w:tcPr>
            <w:tcW w:w="2260" w:type="dxa"/>
            <w:vAlign w:val="bottom"/>
            <w:tcBorders>
              <w:bottom w:val="single" w:sz="8" w:color="auto"/>
            </w:tcBorders>
            <w:gridSpan w:val="3"/>
          </w:tcPr>
          <w:p>
            <w:pPr>
              <w:jc w:val="right"/>
              <w:ind w:right="355"/>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3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2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Stockholders'</w:t>
            </w:r>
          </w:p>
        </w:tc>
      </w:tr>
      <w:tr>
        <w:trPr>
          <w:trHeight w:val="210"/>
        </w:trPr>
        <w:tc>
          <w:tcPr>
            <w:tcW w:w="3280" w:type="dxa"/>
            <w:vAlign w:val="bottom"/>
          </w:tcPr>
          <w:p>
            <w:pPr>
              <w:spacing w:after="0"/>
              <w:rPr>
                <w:sz w:val="18"/>
                <w:szCs w:val="18"/>
                <w:color w:val="auto"/>
              </w:rPr>
            </w:pPr>
          </w:p>
        </w:tc>
        <w:tc>
          <w:tcPr>
            <w:tcW w:w="138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(Loss) Income</w:t>
            </w:r>
          </w:p>
        </w:tc>
        <w:tc>
          <w:tcPr>
            <w:tcW w:w="200" w:type="dxa"/>
            <w:vAlign w:val="bottom"/>
          </w:tcPr>
          <w:p>
            <w:pPr>
              <w:spacing w:after="0"/>
              <w:rPr>
                <w:sz w:val="18"/>
                <w:szCs w:val="18"/>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0" w:type="dxa"/>
            <w:vAlign w:val="bottom"/>
          </w:tcPr>
          <w:p>
            <w:pPr>
              <w:spacing w:after="0"/>
              <w:rPr>
                <w:sz w:val="18"/>
                <w:szCs w:val="18"/>
                <w:color w:val="auto"/>
              </w:rPr>
            </w:pPr>
          </w:p>
        </w:tc>
        <w:tc>
          <w:tcPr>
            <w:tcW w:w="102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09"/>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1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178,324</w:t>
            </w: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715"/>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627,665</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(431,172)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196,791</w:t>
            </w:r>
          </w:p>
        </w:tc>
      </w:tr>
      <w:tr>
        <w:trPr>
          <w:trHeight w:val="198"/>
        </w:trPr>
        <w:tc>
          <w:tcPr>
            <w:tcW w:w="328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issued upon exercise</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4"/>
        </w:trPr>
        <w:tc>
          <w:tcPr>
            <w:tcW w:w="3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of options</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1,563</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3,854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3,854</w:t>
            </w:r>
          </w:p>
        </w:tc>
      </w:tr>
      <w:tr>
        <w:trPr>
          <w:trHeight w:val="198"/>
        </w:trPr>
        <w:tc>
          <w:tcPr>
            <w:tcW w:w="328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Stock-based awards, net of tax</w:t>
            </w: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4"/>
        </w:trPr>
        <w:tc>
          <w:tcPr>
            <w:tcW w:w="3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remittance</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r>
      <w:tr>
        <w:trPr>
          <w:trHeight w:val="216"/>
        </w:trPr>
        <w:tc>
          <w:tcPr>
            <w:tcW w:w="3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5,073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5,073</w:t>
            </w:r>
          </w:p>
        </w:tc>
      </w:tr>
      <w:tr>
        <w:trPr>
          <w:trHeight w:val="198"/>
        </w:trPr>
        <w:tc>
          <w:tcPr>
            <w:tcW w:w="328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Unrealized loss on marketable</w:t>
            </w: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4"/>
        </w:trPr>
        <w:tc>
          <w:tcPr>
            <w:tcW w:w="3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securities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r>
      <w:tr>
        <w:trPr>
          <w:trHeight w:val="216"/>
        </w:trPr>
        <w:tc>
          <w:tcPr>
            <w:tcW w:w="3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(18,317)</w:t>
            </w:r>
          </w:p>
        </w:tc>
      </w:tr>
      <w:tr>
        <w:trPr>
          <w:trHeight w:val="210"/>
        </w:trPr>
        <w:tc>
          <w:tcPr>
            <w:tcW w:w="3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2026</w:t>
            </w:r>
          </w:p>
        </w:tc>
        <w:tc>
          <w:tcPr>
            <w:tcW w:w="1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180,088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715"/>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636,103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(449,489)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186,473</w:t>
            </w:r>
          </w:p>
        </w:tc>
      </w:tr>
      <w:tr>
        <w:trPr>
          <w:trHeight w:val="20"/>
        </w:trPr>
        <w:tc>
          <w:tcPr>
            <w:tcW w:w="32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7"/>
        </w:trPr>
        <w:tc>
          <w:tcPr>
            <w:tcW w:w="3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137,820</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489,692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(364,683)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125,233</w:t>
            </w:r>
          </w:p>
        </w:tc>
      </w:tr>
      <w:tr>
        <w:trPr>
          <w:trHeight w:val="198"/>
        </w:trPr>
        <w:tc>
          <w:tcPr>
            <w:tcW w:w="328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Stock-based awards, net of tax</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4"/>
        </w:trPr>
        <w:tc>
          <w:tcPr>
            <w:tcW w:w="3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remittance</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462</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r>
      <w:tr>
        <w:trPr>
          <w:trHeight w:val="216"/>
        </w:trPr>
        <w:tc>
          <w:tcPr>
            <w:tcW w:w="3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2,514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2,514</w:t>
            </w:r>
          </w:p>
        </w:tc>
      </w:tr>
      <w:tr>
        <w:trPr>
          <w:trHeight w:val="198"/>
        </w:trPr>
        <w:tc>
          <w:tcPr>
            <w:tcW w:w="328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Unrealized loss on marketable</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4"/>
        </w:trPr>
        <w:tc>
          <w:tcPr>
            <w:tcW w:w="3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securities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3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(16,633)</w:t>
            </w:r>
          </w:p>
        </w:tc>
      </w:tr>
      <w:tr>
        <w:trPr>
          <w:trHeight w:val="209"/>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1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138,282</w:t>
            </w:r>
          </w:p>
        </w:tc>
        <w:tc>
          <w:tcPr>
            <w:tcW w:w="12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ind w:right="715"/>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491,391</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(381,316)</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110,279</w:t>
            </w:r>
          </w:p>
        </w:tc>
      </w:tr>
      <w:tr>
        <w:trPr>
          <w:trHeight w:val="20"/>
        </w:trPr>
        <w:tc>
          <w:tcPr>
            <w:tcW w:w="32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5"/>
          <w:szCs w:val="25"/>
          <w:b w:val="1"/>
          <w:bCs w:val="1"/>
          <w:color w:val="auto"/>
        </w:rPr>
        <w:t>Compass Therapeutics,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Cash Flows</w:t>
      </w:r>
    </w:p>
    <w:p>
      <w:pPr>
        <w:jc w:val="center"/>
        <w:spacing w:after="0" w:line="235" w:lineRule="auto"/>
        <w:rPr>
          <w:sz w:val="20"/>
          <w:szCs w:val="20"/>
          <w:color w:val="auto"/>
        </w:rPr>
      </w:pPr>
      <w:r>
        <w:rPr>
          <w:rFonts w:ascii="Times New Roman" w:cs="Times New Roman" w:eastAsia="Times New Roman" w:hAnsi="Times New Roman"/>
          <w:sz w:val="22"/>
          <w:szCs w:val="22"/>
          <w:b w:val="1"/>
          <w:bCs w:val="1"/>
          <w:color w:val="auto"/>
        </w:rPr>
        <w:t>(Unaudited)</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2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0" w:type="dxa"/>
            <w:vAlign w:val="bottom"/>
          </w:tcPr>
          <w:p>
            <w:pPr>
              <w:spacing w:after="0"/>
              <w:rPr>
                <w:sz w:val="1"/>
                <w:szCs w:val="1"/>
                <w:color w:val="auto"/>
              </w:rPr>
            </w:pPr>
          </w:p>
        </w:tc>
      </w:tr>
      <w:tr>
        <w:trPr>
          <w:trHeight w:val="238"/>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Ended March 31,</w:t>
            </w: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w w:val="88"/>
              </w:rPr>
              <w:t>2025</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(18,317)</w:t>
            </w:r>
          </w:p>
        </w:tc>
        <w:tc>
          <w:tcPr>
            <w:tcW w:w="66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(16,633)</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Share-based compensation</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5,073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2,514</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premium and discount on marketable securities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ROU asset amortization</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(5,481)</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6,927</w:t>
            </w:r>
          </w:p>
        </w:tc>
        <w:tc>
          <w:tcPr>
            <w:tcW w:w="0" w:type="dxa"/>
            <w:vAlign w:val="bottom"/>
          </w:tcPr>
          <w:p>
            <w:pPr>
              <w:spacing w:after="0"/>
              <w:rPr>
                <w:sz w:val="1"/>
                <w:szCs w:val="1"/>
                <w:color w:val="auto"/>
              </w:rPr>
            </w:pPr>
          </w:p>
        </w:tc>
      </w:tr>
      <w:tr>
        <w:trPr>
          <w:trHeight w:val="229"/>
        </w:trPr>
        <w:tc>
          <w:tcPr>
            <w:tcW w:w="8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(17,269)</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(13,208)</w:t>
            </w:r>
          </w:p>
        </w:tc>
        <w:tc>
          <w:tcPr>
            <w:tcW w:w="0" w:type="dxa"/>
            <w:vAlign w:val="bottom"/>
          </w:tcPr>
          <w:p>
            <w:pPr>
              <w:spacing w:after="0"/>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(44,815)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(24,832)</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or maturities of marketable securities</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83,326</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36,438</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38,429</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11,588</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 of common stock</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3,854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paid related to net shares settlement of RSUs</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0" w:type="dxa"/>
            <w:vAlign w:val="bottom"/>
          </w:tcPr>
          <w:p>
            <w:pPr>
              <w:spacing w:after="0"/>
              <w:rPr>
                <w:sz w:val="1"/>
                <w:szCs w:val="1"/>
                <w:color w:val="auto"/>
              </w:rPr>
            </w:pPr>
          </w:p>
        </w:tc>
      </w:tr>
      <w:tr>
        <w:trPr>
          <w:trHeight w:val="209"/>
        </w:trPr>
        <w:tc>
          <w:tcPr>
            <w:tcW w:w="80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3,365</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24,525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31,211</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44,051</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55,736</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41,616</w:t>
            </w: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Reconciliation of cash, cash equivalents and restricted cash to the Condensed Consolidated Balance Sheets</w:t>
            </w: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55,168</w:t>
            </w:r>
          </w:p>
        </w:tc>
        <w:tc>
          <w:tcPr>
            <w:tcW w:w="66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41,048</w:t>
            </w:r>
          </w:p>
        </w:tc>
        <w:tc>
          <w:tcPr>
            <w:tcW w:w="0" w:type="dxa"/>
            <w:vAlign w:val="bottom"/>
          </w:tcPr>
          <w:p>
            <w:pPr>
              <w:spacing w:after="0"/>
              <w:rPr>
                <w:sz w:val="1"/>
                <w:szCs w:val="1"/>
                <w:color w:val="auto"/>
              </w:rPr>
            </w:pPr>
          </w:p>
        </w:tc>
      </w:tr>
      <w:tr>
        <w:trPr>
          <w:trHeight w:val="229"/>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Restricted cash</w:t>
            </w:r>
          </w:p>
        </w:tc>
        <w:tc>
          <w:tcPr>
            <w:tcW w:w="32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568</w:t>
            </w:r>
          </w:p>
        </w:tc>
        <w:tc>
          <w:tcPr>
            <w:tcW w:w="66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568</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55,736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41,616</w:t>
            </w: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439</w:t>
            </w:r>
          </w:p>
        </w:tc>
        <w:tc>
          <w:tcPr>
            <w:tcW w:w="66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5"/>
          <w:szCs w:val="25"/>
          <w:b w:val="1"/>
          <w:bCs w:val="1"/>
          <w:color w:val="auto"/>
        </w:rPr>
        <w:t>Compass Therapeutics, Inc. and Subsidiaries</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00" w:hanging="492"/>
        <w:spacing w:after="0"/>
        <w:tabs>
          <w:tab w:leader="none" w:pos="5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 and Basis of Presentation</w:t>
      </w:r>
    </w:p>
    <w:p>
      <w:pPr>
        <w:spacing w:after="0" w:line="229" w:lineRule="exact"/>
        <w:rPr>
          <w:rFonts w:ascii="Times New Roman" w:cs="Times New Roman" w:eastAsia="Times New Roman" w:hAnsi="Times New Roman"/>
          <w:sz w:val="18"/>
          <w:szCs w:val="18"/>
          <w:b w:val="1"/>
          <w:bCs w:val="1"/>
          <w:color w:val="auto"/>
        </w:rPr>
      </w:pPr>
    </w:p>
    <w:p>
      <w:pPr>
        <w:jc w:val="both"/>
        <w:ind w:left="50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Compass Therapeutics, Inc. (“Compass” or the “Company”) is a clinical-stage, oncology-focused biopharmaceutical company developing proprietary antibody-based therapeutics to treat multiple human diseases. The Company’s scientific focus is on the relationship between angiogenesis and the immune system. The pipeline includes novel product candidates that leverage our understanding of the tumor microenvironment, including both angiogenesis-targeted agents and immune-oncology focused agents. These product candidates are designed to optimize critical components required for an effective anti-tumor response to cancer. These include modulation of the microvasculature via angiogenesis-targeted agents; induction of a potent immune response via activators on effector cells in the tumor microenvironment; and alleviation of immunosuppressive mechanisms used by tumors to evade immune surveillance. The Company plans to advance its product candidates through clinical development as both standalone therapies and in combination with its proprietary drug candidates as long as their continued development is supported by clinical and nonclinical data. References to Compass or the Company herein include Compass Therapeutics, Inc. and its wholly owned subsidiaries.</w:t>
      </w:r>
    </w:p>
    <w:p>
      <w:pPr>
        <w:spacing w:after="0" w:line="194" w:lineRule="exact"/>
        <w:rPr>
          <w:rFonts w:ascii="Times New Roman" w:cs="Times New Roman" w:eastAsia="Times New Roman" w:hAnsi="Times New Roman"/>
          <w:sz w:val="18"/>
          <w:szCs w:val="18"/>
          <w:b w:val="1"/>
          <w:bCs w:val="1"/>
          <w:color w:val="auto"/>
        </w:rPr>
      </w:pPr>
    </w:p>
    <w:p>
      <w:pPr>
        <w:jc w:val="both"/>
        <w:ind w:left="50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subject to risks and uncertainties common to companies in the biotechnology and pharmaceutical industries. There can be no assurance that the Company’s research and development will be successfully completed, that adequate protection for the Company’s technology will be obtained, that any products developed will obtain necessary government regulatory approval or that any approved products will be commercially viable. The Company operates in an environment of rapid change in technology and substantial competition from pharmaceutical and biotechnology companies. In addition, the Company is dependent upon the services of its employees and consultants.</w:t>
      </w:r>
    </w:p>
    <w:p>
      <w:pPr>
        <w:spacing w:after="0" w:line="183" w:lineRule="exact"/>
        <w:rPr>
          <w:rFonts w:ascii="Times New Roman" w:cs="Times New Roman" w:eastAsia="Times New Roman" w:hAnsi="Times New Roman"/>
          <w:sz w:val="18"/>
          <w:szCs w:val="18"/>
          <w:b w:val="1"/>
          <w:bCs w:val="1"/>
          <w:color w:val="auto"/>
        </w:rPr>
      </w:pPr>
    </w:p>
    <w:p>
      <w:pPr>
        <w:jc w:val="both"/>
        <w:ind w:left="50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opinion of management, the accompanying unaudited condensed consolidated financial statements include all normal and recurring adjustments (which consist primarily of accruals, estimates and assumptions that impact the financial statements) considered necessary to present fairly the Company’s consolidated financial position as of March 31, 2026 and its consolidated results of operations, comprehensive loss, changes in stockholders’ equity and cash flows for the three months ended March 31, 2026 and 2025. Operating results for the three months ended March 31, 2026 are not necessarily indicative of the results that may be expected for the year ending December 31, 2026.</w:t>
      </w:r>
    </w:p>
    <w:p>
      <w:pPr>
        <w:spacing w:after="0" w:line="183" w:lineRule="exact"/>
        <w:rPr>
          <w:rFonts w:ascii="Times New Roman" w:cs="Times New Roman" w:eastAsia="Times New Roman" w:hAnsi="Times New Roman"/>
          <w:sz w:val="18"/>
          <w:szCs w:val="18"/>
          <w:b w:val="1"/>
          <w:bCs w:val="1"/>
          <w:color w:val="auto"/>
        </w:rPr>
      </w:pPr>
    </w:p>
    <w:p>
      <w:pPr>
        <w:jc w:val="both"/>
        <w:ind w:left="500"/>
        <w:spacing w:after="0" w:line="254"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unaudited condensed consolidated financial statements include the accounts of Compass Therapeutics, Inc. and its subsidiaries, and have been prepared by the Company in conformity with accounting principles generally accepted in the United States of America (“GAAP”) and pursuant to the rules and regulations of the Securities and Exchange Commission (“SEC”) for interim financial statements. Certain information and footnote disclosures normally included in financial statements prepared in accordance with GAAP have been condensed or omitted pursuant to such rules and regulations. The condensed consolidated balance sheet at December 31, 2025 has been derived from the audited consolidated financial statements at that date but does not include all of the information and footnotes required by GAAP for complete financial statements. Accordingly, these condensed consolidated financial statements should be read in conjunction with the Company’s audited financial statements in the Company’s </w:t>
      </w:r>
      <w:hyperlink r:id="rId23">
        <w:r>
          <w:rPr>
            <w:rFonts w:ascii="Times New Roman" w:cs="Times New Roman" w:eastAsia="Times New Roman" w:hAnsi="Times New Roman"/>
            <w:sz w:val="18"/>
            <w:szCs w:val="18"/>
            <w:u w:val="single" w:color="auto"/>
            <w:color w:val="0000EE"/>
          </w:rPr>
          <w:t>Annual Report on Form 10-K for the fiscal year ended December 31, 2025</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(the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“Annual Report”).</w:t>
      </w:r>
    </w:p>
    <w:p>
      <w:pPr>
        <w:spacing w:after="0" w:line="187" w:lineRule="exact"/>
        <w:rPr>
          <w:rFonts w:ascii="Times New Roman" w:cs="Times New Roman" w:eastAsia="Times New Roman" w:hAnsi="Times New Roman"/>
          <w:sz w:val="18"/>
          <w:szCs w:val="18"/>
          <w:color w:val="0000EE"/>
        </w:rPr>
      </w:pPr>
    </w:p>
    <w:p>
      <w:pPr>
        <w:ind w:left="500"/>
        <w:spacing w:after="0"/>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b w:val="1"/>
          <w:bCs w:val="1"/>
          <w:color w:val="auto"/>
        </w:rPr>
        <w:t>Liquidity</w:t>
      </w:r>
    </w:p>
    <w:p>
      <w:pPr>
        <w:spacing w:after="0" w:line="229" w:lineRule="exact"/>
        <w:rPr>
          <w:rFonts w:ascii="Times New Roman" w:cs="Times New Roman" w:eastAsia="Times New Roman" w:hAnsi="Times New Roman"/>
          <w:sz w:val="18"/>
          <w:szCs w:val="18"/>
          <w:color w:val="0000EE"/>
        </w:rPr>
      </w:pPr>
    </w:p>
    <w:p>
      <w:pPr>
        <w:jc w:val="both"/>
        <w:ind w:left="500"/>
        <w:spacing w:after="0" w:line="256"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Since inception, the Company has devoted substantially all its efforts to organizing and staffing, business planning, raising capital, research and development activities, building intellectual property portfolio and providing general and administrative support for these operations. The Company has funded its operations with proceeds from the sale of equity securities and borrowing from debt arrangements. Through March 31, 2026, the Company has received $568 million in gross proceeds from the sale of equity securities. As of March 31, 2026, the total of cash, cash equivalents and marketable securities was $195 million. Based on research and development plans, the Company expects such cash resources will fund operating expenses and capital expenditure requirements into 2028.</w:t>
      </w:r>
    </w:p>
    <w:p>
      <w:pPr>
        <w:spacing w:after="0" w:line="200" w:lineRule="exact"/>
        <w:rPr>
          <w:rFonts w:ascii="Times New Roman" w:cs="Times New Roman" w:eastAsia="Times New Roman" w:hAnsi="Times New Roman"/>
          <w:sz w:val="18"/>
          <w:szCs w:val="18"/>
          <w:color w:val="0000EE"/>
        </w:rPr>
      </w:pPr>
    </w:p>
    <w:p>
      <w:pPr>
        <w:spacing w:after="0" w:line="226" w:lineRule="exact"/>
        <w:rPr>
          <w:rFonts w:ascii="Times New Roman" w:cs="Times New Roman" w:eastAsia="Times New Roman" w:hAnsi="Times New Roman"/>
          <w:sz w:val="18"/>
          <w:szCs w:val="18"/>
          <w:color w:val="0000EE"/>
        </w:rPr>
      </w:pPr>
    </w:p>
    <w:p>
      <w:pPr>
        <w:ind w:left="500" w:hanging="492"/>
        <w:spacing w:after="0"/>
        <w:tabs>
          <w:tab w:leader="none" w:pos="5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9"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have been no material changes to the significant accounting policies previously disclosed in the Company’s Annual Report.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7" w:name="page8"/>
    <w:bookmarkEnd w:id="7"/>
    <w:p>
      <w:pPr>
        <w:ind w:left="500" w:hanging="492"/>
        <w:spacing w:after="0"/>
        <w:tabs>
          <w:tab w:leader="none" w:pos="5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rFonts w:ascii="Times New Roman" w:cs="Times New Roman" w:eastAsia="Times New Roman" w:hAnsi="Times New Roman"/>
          <w:sz w:val="18"/>
          <w:szCs w:val="18"/>
          <w:b w:val="1"/>
          <w:bCs w:val="1"/>
          <w:color w:val="auto"/>
        </w:rPr>
      </w:pPr>
    </w:p>
    <w:p>
      <w:pPr>
        <w:ind w:left="5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tables represent the Company’s financial assets that are measured at fair value on a recurring basis and indicate the level of the fair value hierarchy utilized to determine such fair values (in thousands):</w:t>
      </w:r>
    </w:p>
    <w:p>
      <w:pPr>
        <w:spacing w:after="0" w:line="374"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45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360" w:type="dxa"/>
            <w:vAlign w:val="bottom"/>
            <w:tcBorders>
              <w:bottom w:val="single" w:sz="8" w:color="auto"/>
            </w:tcBorders>
            <w:gridSpan w:val="7"/>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Fair Value Measurements as of March 31, 2026:</w:t>
            </w:r>
          </w:p>
        </w:tc>
      </w:tr>
      <w:tr>
        <w:trPr>
          <w:trHeight w:val="187"/>
        </w:trPr>
        <w:tc>
          <w:tcPr>
            <w:tcW w:w="4560" w:type="dxa"/>
            <w:vAlign w:val="bottom"/>
          </w:tcPr>
          <w:p>
            <w:pPr>
              <w:spacing w:after="0"/>
              <w:rPr>
                <w:sz w:val="16"/>
                <w:szCs w:val="16"/>
                <w:color w:val="auto"/>
              </w:rPr>
            </w:pPr>
          </w:p>
        </w:tc>
        <w:tc>
          <w:tcPr>
            <w:tcW w:w="1340" w:type="dxa"/>
            <w:vAlign w:val="bottom"/>
            <w:gridSpan w:val="2"/>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Quoted Prices</w:t>
            </w: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6"/>
        </w:trPr>
        <w:tc>
          <w:tcPr>
            <w:tcW w:w="4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2"/>
              </w:rPr>
              <w:t>in</w:t>
            </w:r>
          </w:p>
        </w:tc>
        <w:tc>
          <w:tcPr>
            <w:tcW w:w="240" w:type="dxa"/>
            <w:vAlign w:val="bottom"/>
          </w:tcPr>
          <w:p>
            <w:pPr>
              <w:spacing w:after="0"/>
              <w:rPr>
                <w:sz w:val="18"/>
                <w:szCs w:val="18"/>
                <w:color w:val="auto"/>
              </w:rPr>
            </w:pPr>
          </w:p>
        </w:tc>
        <w:tc>
          <w:tcPr>
            <w:tcW w:w="11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4560" w:type="dxa"/>
            <w:vAlign w:val="bottom"/>
          </w:tcPr>
          <w:p>
            <w:pPr>
              <w:spacing w:after="0"/>
              <w:rPr>
                <w:sz w:val="18"/>
                <w:szCs w:val="18"/>
                <w:color w:val="auto"/>
              </w:rPr>
            </w:pPr>
          </w:p>
        </w:tc>
        <w:tc>
          <w:tcPr>
            <w:tcW w:w="134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Active Markets</w:t>
            </w:r>
          </w:p>
        </w:tc>
        <w:tc>
          <w:tcPr>
            <w:tcW w:w="240" w:type="dxa"/>
            <w:vAlign w:val="bottom"/>
          </w:tcPr>
          <w:p>
            <w:pPr>
              <w:spacing w:after="0"/>
              <w:rPr>
                <w:sz w:val="18"/>
                <w:szCs w:val="18"/>
                <w:color w:val="auto"/>
              </w:rPr>
            </w:pPr>
          </w:p>
        </w:tc>
        <w:tc>
          <w:tcPr>
            <w:tcW w:w="11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20" w:type="dxa"/>
            <w:vAlign w:val="bottom"/>
          </w:tcPr>
          <w:p>
            <w:pPr>
              <w:spacing w:after="0"/>
              <w:rPr>
                <w:sz w:val="18"/>
                <w:szCs w:val="18"/>
                <w:color w:val="auto"/>
              </w:rPr>
            </w:pPr>
          </w:p>
        </w:tc>
        <w:tc>
          <w:tcPr>
            <w:tcW w:w="11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4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5"/>
              </w:rPr>
              <w:t>for</w:t>
            </w:r>
          </w:p>
        </w:tc>
        <w:tc>
          <w:tcPr>
            <w:tcW w:w="24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4560" w:type="dxa"/>
            <w:vAlign w:val="bottom"/>
          </w:tcPr>
          <w:p>
            <w:pPr>
              <w:spacing w:after="0"/>
              <w:rPr>
                <w:sz w:val="18"/>
                <w:szCs w:val="18"/>
                <w:color w:val="auto"/>
              </w:rPr>
            </w:pPr>
          </w:p>
        </w:tc>
        <w:tc>
          <w:tcPr>
            <w:tcW w:w="134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Identical Assets</w:t>
            </w:r>
          </w:p>
        </w:tc>
        <w:tc>
          <w:tcPr>
            <w:tcW w:w="240" w:type="dxa"/>
            <w:vAlign w:val="bottom"/>
          </w:tcPr>
          <w:p>
            <w:pPr>
              <w:spacing w:after="0"/>
              <w:rPr>
                <w:sz w:val="18"/>
                <w:szCs w:val="18"/>
                <w:color w:val="auto"/>
              </w:rPr>
            </w:pPr>
          </w:p>
        </w:tc>
        <w:tc>
          <w:tcPr>
            <w:tcW w:w="11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220" w:type="dxa"/>
            <w:vAlign w:val="bottom"/>
          </w:tcPr>
          <w:p>
            <w:pPr>
              <w:spacing w:after="0"/>
              <w:rPr>
                <w:sz w:val="18"/>
                <w:szCs w:val="18"/>
                <w:color w:val="auto"/>
              </w:rPr>
            </w:pPr>
          </w:p>
        </w:tc>
        <w:tc>
          <w:tcPr>
            <w:tcW w:w="11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8"/>
        </w:trPr>
        <w:tc>
          <w:tcPr>
            <w:tcW w:w="45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0"/>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tcPr>
          <w:p>
            <w:pPr>
              <w:jc w:val="right"/>
              <w:ind w:right="12"/>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100,097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100,097</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11,993</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11,993</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18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18,912</w:t>
            </w:r>
          </w:p>
        </w:tc>
        <w:tc>
          <w:tcPr>
            <w:tcW w:w="24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18,912</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treasuries</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1,678</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1,678</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8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6,839</w:t>
            </w:r>
          </w:p>
        </w:tc>
        <w:tc>
          <w:tcPr>
            <w:tcW w:w="220" w:type="dxa"/>
            <w:vAlign w:val="bottom"/>
          </w:tcPr>
          <w:p>
            <w:pPr>
              <w:spacing w:after="0"/>
              <w:rPr>
                <w:sz w:val="18"/>
                <w:szCs w:val="18"/>
                <w:color w:val="auto"/>
              </w:rPr>
            </w:pPr>
          </w:p>
        </w:tc>
        <w:tc>
          <w:tcPr>
            <w:tcW w:w="11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6,839</w:t>
            </w:r>
          </w:p>
        </w:tc>
      </w:tr>
      <w:tr>
        <w:trPr>
          <w:trHeight w:val="216"/>
        </w:trPr>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 (cash equivalents)</w:t>
            </w: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5,030</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5,030</w:t>
            </w:r>
          </w:p>
        </w:tc>
      </w:tr>
      <w:tr>
        <w:trPr>
          <w:trHeight w:val="209"/>
        </w:trPr>
        <w:tc>
          <w:tcPr>
            <w:tcW w:w="4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25,620</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118,929</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144,549</w:t>
            </w:r>
          </w:p>
        </w:tc>
      </w:tr>
      <w:tr>
        <w:trPr>
          <w:trHeight w:val="20"/>
        </w:trPr>
        <w:tc>
          <w:tcPr>
            <w:tcW w:w="4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360" w:type="dxa"/>
            <w:vAlign w:val="bottom"/>
            <w:tcBorders>
              <w:bottom w:val="single" w:sz="8" w:color="auto"/>
            </w:tcBorders>
            <w:gridSpan w:val="7"/>
          </w:tcPr>
          <w:p>
            <w:pPr>
              <w:spacing w:after="0" w:line="20" w:lineRule="exact"/>
              <w:rPr>
                <w:sz w:val="1"/>
                <w:szCs w:val="1"/>
                <w:color w:val="auto"/>
              </w:rPr>
            </w:pPr>
          </w:p>
        </w:tc>
      </w:tr>
      <w:tr>
        <w:trPr>
          <w:trHeight w:val="413"/>
        </w:trPr>
        <w:tc>
          <w:tcPr>
            <w:tcW w:w="45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gridSpan w:val="7"/>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Fair Value Measurements as of December 31, 2025:</w:t>
            </w:r>
          </w:p>
        </w:tc>
      </w:tr>
      <w:tr>
        <w:trPr>
          <w:trHeight w:val="187"/>
        </w:trPr>
        <w:tc>
          <w:tcPr>
            <w:tcW w:w="4560" w:type="dxa"/>
            <w:vAlign w:val="bottom"/>
          </w:tcPr>
          <w:p>
            <w:pPr>
              <w:spacing w:after="0"/>
              <w:rPr>
                <w:sz w:val="16"/>
                <w:szCs w:val="16"/>
                <w:color w:val="auto"/>
              </w:rPr>
            </w:pPr>
          </w:p>
        </w:tc>
        <w:tc>
          <w:tcPr>
            <w:tcW w:w="1340" w:type="dxa"/>
            <w:vAlign w:val="bottom"/>
            <w:gridSpan w:val="2"/>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Quoted Prices</w:t>
            </w: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6"/>
        </w:trPr>
        <w:tc>
          <w:tcPr>
            <w:tcW w:w="4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2"/>
              </w:rPr>
              <w:t>in</w:t>
            </w:r>
          </w:p>
        </w:tc>
        <w:tc>
          <w:tcPr>
            <w:tcW w:w="240" w:type="dxa"/>
            <w:vAlign w:val="bottom"/>
          </w:tcPr>
          <w:p>
            <w:pPr>
              <w:spacing w:after="0"/>
              <w:rPr>
                <w:sz w:val="18"/>
                <w:szCs w:val="18"/>
                <w:color w:val="auto"/>
              </w:rPr>
            </w:pPr>
          </w:p>
        </w:tc>
        <w:tc>
          <w:tcPr>
            <w:tcW w:w="11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4560" w:type="dxa"/>
            <w:vAlign w:val="bottom"/>
          </w:tcPr>
          <w:p>
            <w:pPr>
              <w:spacing w:after="0"/>
              <w:rPr>
                <w:sz w:val="18"/>
                <w:szCs w:val="18"/>
                <w:color w:val="auto"/>
              </w:rPr>
            </w:pPr>
          </w:p>
        </w:tc>
        <w:tc>
          <w:tcPr>
            <w:tcW w:w="134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Active Markets</w:t>
            </w:r>
          </w:p>
        </w:tc>
        <w:tc>
          <w:tcPr>
            <w:tcW w:w="240" w:type="dxa"/>
            <w:vAlign w:val="bottom"/>
          </w:tcPr>
          <w:p>
            <w:pPr>
              <w:spacing w:after="0"/>
              <w:rPr>
                <w:sz w:val="18"/>
                <w:szCs w:val="18"/>
                <w:color w:val="auto"/>
              </w:rPr>
            </w:pPr>
          </w:p>
        </w:tc>
        <w:tc>
          <w:tcPr>
            <w:tcW w:w="11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20" w:type="dxa"/>
            <w:vAlign w:val="bottom"/>
          </w:tcPr>
          <w:p>
            <w:pPr>
              <w:spacing w:after="0"/>
              <w:rPr>
                <w:sz w:val="18"/>
                <w:szCs w:val="18"/>
                <w:color w:val="auto"/>
              </w:rPr>
            </w:pPr>
          </w:p>
        </w:tc>
        <w:tc>
          <w:tcPr>
            <w:tcW w:w="11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4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5"/>
              </w:rPr>
              <w:t>for</w:t>
            </w:r>
          </w:p>
        </w:tc>
        <w:tc>
          <w:tcPr>
            <w:tcW w:w="24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4560" w:type="dxa"/>
            <w:vAlign w:val="bottom"/>
          </w:tcPr>
          <w:p>
            <w:pPr>
              <w:spacing w:after="0"/>
              <w:rPr>
                <w:sz w:val="18"/>
                <w:szCs w:val="18"/>
                <w:color w:val="auto"/>
              </w:rPr>
            </w:pPr>
          </w:p>
        </w:tc>
        <w:tc>
          <w:tcPr>
            <w:tcW w:w="134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Identical Assets</w:t>
            </w:r>
          </w:p>
        </w:tc>
        <w:tc>
          <w:tcPr>
            <w:tcW w:w="240" w:type="dxa"/>
            <w:vAlign w:val="bottom"/>
          </w:tcPr>
          <w:p>
            <w:pPr>
              <w:spacing w:after="0"/>
              <w:rPr>
                <w:sz w:val="18"/>
                <w:szCs w:val="18"/>
                <w:color w:val="auto"/>
              </w:rPr>
            </w:pPr>
          </w:p>
        </w:tc>
        <w:tc>
          <w:tcPr>
            <w:tcW w:w="11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220" w:type="dxa"/>
            <w:vAlign w:val="bottom"/>
          </w:tcPr>
          <w:p>
            <w:pPr>
              <w:spacing w:after="0"/>
              <w:rPr>
                <w:sz w:val="18"/>
                <w:szCs w:val="18"/>
                <w:color w:val="auto"/>
              </w:rPr>
            </w:pPr>
          </w:p>
        </w:tc>
        <w:tc>
          <w:tcPr>
            <w:tcW w:w="11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8"/>
        </w:trPr>
        <w:tc>
          <w:tcPr>
            <w:tcW w:w="45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0"/>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tcPr>
          <w:p>
            <w:pPr>
              <w:jc w:val="right"/>
              <w:ind w:right="12"/>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86,636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86,636</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14,960</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14,960</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18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68,977</w:t>
            </w:r>
          </w:p>
        </w:tc>
        <w:tc>
          <w:tcPr>
            <w:tcW w:w="24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68,977</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treasuries</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1,664</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1,664</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8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6,026</w:t>
            </w:r>
          </w:p>
        </w:tc>
        <w:tc>
          <w:tcPr>
            <w:tcW w:w="220" w:type="dxa"/>
            <w:vAlign w:val="bottom"/>
          </w:tcPr>
          <w:p>
            <w:pPr>
              <w:spacing w:after="0"/>
              <w:rPr>
                <w:sz w:val="18"/>
                <w:szCs w:val="18"/>
                <w:color w:val="auto"/>
              </w:rPr>
            </w:pPr>
          </w:p>
        </w:tc>
        <w:tc>
          <w:tcPr>
            <w:tcW w:w="11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6,026</w:t>
            </w:r>
          </w:p>
        </w:tc>
      </w:tr>
      <w:tr>
        <w:trPr>
          <w:trHeight w:val="229"/>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 (cash equivalents)</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8,383</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8,383</w:t>
            </w:r>
          </w:p>
        </w:tc>
      </w:tr>
      <w:tr>
        <w:trPr>
          <w:trHeight w:val="223"/>
        </w:trPr>
        <w:tc>
          <w:tcPr>
            <w:tcW w:w="4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79,024</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107,622</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186,646</w:t>
            </w:r>
          </w:p>
        </w:tc>
      </w:tr>
      <w:tr>
        <w:trPr>
          <w:trHeight w:val="20"/>
        </w:trPr>
        <w:tc>
          <w:tcPr>
            <w:tcW w:w="4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500" w:hanging="492"/>
        <w:spacing w:after="0"/>
        <w:tabs>
          <w:tab w:leader="none" w:pos="5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Marketable Securities</w:t>
      </w:r>
    </w:p>
    <w:p>
      <w:pPr>
        <w:spacing w:after="0" w:line="229" w:lineRule="exact"/>
        <w:rPr>
          <w:rFonts w:ascii="Times New Roman" w:cs="Times New Roman" w:eastAsia="Times New Roman" w:hAnsi="Times New Roman"/>
          <w:sz w:val="18"/>
          <w:szCs w:val="18"/>
          <w:b w:val="1"/>
          <w:bCs w:val="1"/>
          <w:color w:val="auto"/>
        </w:rPr>
      </w:pPr>
    </w:p>
    <w:p>
      <w:pPr>
        <w:jc w:val="both"/>
        <w:ind w:left="5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objectives of the Company’s investment policy are to ensure the safety and preservation of invested funds, as well as to maintain liquidity sufficient to meet cash flow requirements. The Company invests its excess cash in securities issued by financial institutions, commercial companies, and government agencies that management believes to be of high credit quality in order to limit the amount of its credit exposure. The Company has not realized any net losses from its investments.</w:t>
      </w:r>
    </w:p>
    <w:p>
      <w:pPr>
        <w:spacing w:after="0" w:line="179" w:lineRule="exact"/>
        <w:rPr>
          <w:rFonts w:ascii="Times New Roman" w:cs="Times New Roman" w:eastAsia="Times New Roman" w:hAnsi="Times New Roman"/>
          <w:sz w:val="18"/>
          <w:szCs w:val="18"/>
          <w:b w:val="1"/>
          <w:bCs w:val="1"/>
          <w:color w:val="auto"/>
        </w:rPr>
      </w:pPr>
    </w:p>
    <w:p>
      <w:pPr>
        <w:jc w:val="both"/>
        <w:ind w:left="5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Unrealized gains and losses on investments that are available for sale are recognized in accumulated other comprehensive (loss) income, unless an unrealized loss is considered to be other than temporary, in which case the unrealized loss is charged to operations. The Company periodically reviews its investments for other than temporary declines in fair value below cost basis and whenever events or changes in circumstances indicate that the carrying amount of an asset may not be recoverable.</w:t>
      </w:r>
    </w:p>
    <w:p>
      <w:pPr>
        <w:spacing w:after="0" w:line="180"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The Company believes the individual unrealized losses represent temporary declines primarily resulting from interest rate changes. Realized gains and losses are included in other income in the condensed consolidated statements of operations and comprehensive loss and are determined using the specific identification method with transactions recorded on a trade date basis. The Company classifies marketable securities that are available for use in current operations as current assets on the condensed consolidated balance sheet.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8" w:name="page9"/>
    <w:bookmarkEnd w:id="8"/>
    <w:p>
      <w:pPr>
        <w:ind w:left="492"/>
        <w:spacing w:after="0"/>
        <w:rPr>
          <w:sz w:val="20"/>
          <w:szCs w:val="20"/>
          <w:color w:val="auto"/>
        </w:rPr>
      </w:pPr>
      <w:r>
        <w:rPr>
          <w:rFonts w:ascii="Times New Roman" w:cs="Times New Roman" w:eastAsia="Times New Roman" w:hAnsi="Times New Roman"/>
          <w:sz w:val="18"/>
          <w:szCs w:val="18"/>
          <w:color w:val="auto"/>
        </w:rPr>
        <w:t>The following tables summarize marketable securities held (in thousands):</w:t>
      </w:r>
    </w:p>
    <w:p>
      <w:pPr>
        <w:spacing w:after="0" w:line="221" w:lineRule="exact"/>
        <w:rPr>
          <w:sz w:val="20"/>
          <w:szCs w:val="20"/>
          <w:color w:val="auto"/>
        </w:rPr>
      </w:pPr>
    </w:p>
    <w:tbl>
      <w:tblPr>
        <w:tblLayout w:type="fixed"/>
        <w:tblInd w:w="492" w:type="dxa"/>
        <w:tblCellMar>
          <w:top w:w="0" w:type="dxa"/>
          <w:left w:w="0" w:type="dxa"/>
          <w:bottom w:w="0" w:type="dxa"/>
          <w:right w:w="0" w:type="dxa"/>
        </w:tblCellMar>
      </w:tblPr>
      <w:tr>
        <w:trPr>
          <w:trHeight w:val="238"/>
        </w:trPr>
        <w:tc>
          <w:tcPr>
            <w:tcW w:w="45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400" w:type="dxa"/>
            <w:vAlign w:val="bottom"/>
            <w:tcBorders>
              <w:bottom w:val="single" w:sz="8" w:color="auto"/>
            </w:tcBorders>
            <w:gridSpan w:val="10"/>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Fair Value Measurements as of March 31, 2026 Using:</w:t>
            </w:r>
          </w:p>
        </w:tc>
      </w:tr>
      <w:tr>
        <w:trPr>
          <w:trHeight w:val="187"/>
        </w:trPr>
        <w:tc>
          <w:tcPr>
            <w:tcW w:w="4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ind w:right="230"/>
              <w:spacing w:after="0" w:line="188" w:lineRule="exact"/>
              <w:rPr>
                <w:sz w:val="20"/>
                <w:szCs w:val="20"/>
                <w:color w:val="auto"/>
              </w:rPr>
            </w:pPr>
            <w:r>
              <w:rPr>
                <w:rFonts w:ascii="Times New Roman" w:cs="Times New Roman" w:eastAsia="Times New Roman" w:hAnsi="Times New Roman"/>
                <w:sz w:val="18"/>
                <w:szCs w:val="18"/>
                <w:b w:val="1"/>
                <w:bCs w:val="1"/>
                <w:color w:val="auto"/>
              </w:rPr>
              <w:t>Amortized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ind w:right="210"/>
              <w:spacing w:after="0" w:line="188"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8"/>
        </w:trPr>
        <w:tc>
          <w:tcPr>
            <w:tcW w:w="4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40" w:type="dxa"/>
            <w:vAlign w:val="bottom"/>
          </w:tcPr>
          <w:p>
            <w:pPr>
              <w:spacing w:after="0"/>
              <w:rPr>
                <w:sz w:val="20"/>
                <w:szCs w:val="20"/>
                <w:color w:val="auto"/>
              </w:rPr>
            </w:pPr>
          </w:p>
        </w:tc>
        <w:tc>
          <w:tcPr>
            <w:tcW w:w="11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0"/>
        </w:trPr>
        <w:tc>
          <w:tcPr>
            <w:tcW w:w="4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100,255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100,097</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11,997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11,993</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14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18,919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18,912</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treasuries</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1,678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1,678</w:t>
            </w:r>
          </w:p>
        </w:tc>
      </w:tr>
      <w:tr>
        <w:trPr>
          <w:trHeight w:val="229"/>
        </w:trPr>
        <w:tc>
          <w:tcPr>
            <w:tcW w:w="4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6,829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6,839</w:t>
            </w:r>
          </w:p>
        </w:tc>
      </w:tr>
      <w:tr>
        <w:trPr>
          <w:trHeight w:val="209"/>
        </w:trPr>
        <w:tc>
          <w:tcPr>
            <w:tcW w:w="45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139,678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139,519</w:t>
            </w:r>
          </w:p>
        </w:tc>
      </w:tr>
      <w:tr>
        <w:trPr>
          <w:trHeight w:val="20"/>
        </w:trPr>
        <w:tc>
          <w:tcPr>
            <w:tcW w:w="4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tbl>
      <w:tblPr>
        <w:tblLayout w:type="fixed"/>
        <w:tblInd w:w="492" w:type="dxa"/>
        <w:tblCellMar>
          <w:top w:w="0" w:type="dxa"/>
          <w:left w:w="0" w:type="dxa"/>
          <w:bottom w:w="0" w:type="dxa"/>
          <w:right w:w="0" w:type="dxa"/>
        </w:tblCellMar>
      </w:tblPr>
      <w:tr>
        <w:trPr>
          <w:trHeight w:val="238"/>
        </w:trPr>
        <w:tc>
          <w:tcPr>
            <w:tcW w:w="45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400" w:type="dxa"/>
            <w:vAlign w:val="bottom"/>
            <w:tcBorders>
              <w:bottom w:val="single" w:sz="8" w:color="auto"/>
            </w:tcBorders>
            <w:gridSpan w:val="10"/>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Fair Value Measurements as of December 31, 2025 Using:</w:t>
            </w:r>
          </w:p>
        </w:tc>
      </w:tr>
      <w:tr>
        <w:trPr>
          <w:trHeight w:val="187"/>
        </w:trPr>
        <w:tc>
          <w:tcPr>
            <w:tcW w:w="4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ind w:right="230"/>
              <w:spacing w:after="0" w:line="188" w:lineRule="exact"/>
              <w:rPr>
                <w:sz w:val="20"/>
                <w:szCs w:val="20"/>
                <w:color w:val="auto"/>
              </w:rPr>
            </w:pPr>
            <w:r>
              <w:rPr>
                <w:rFonts w:ascii="Times New Roman" w:cs="Times New Roman" w:eastAsia="Times New Roman" w:hAnsi="Times New Roman"/>
                <w:sz w:val="18"/>
                <w:szCs w:val="18"/>
                <w:b w:val="1"/>
                <w:bCs w:val="1"/>
                <w:color w:val="auto"/>
              </w:rPr>
              <w:t>Amortized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ind w:right="210"/>
              <w:spacing w:after="0" w:line="188"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8"/>
        </w:trPr>
        <w:tc>
          <w:tcPr>
            <w:tcW w:w="4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40" w:type="dxa"/>
            <w:vAlign w:val="bottom"/>
          </w:tcPr>
          <w:p>
            <w:pPr>
              <w:spacing w:after="0"/>
              <w:rPr>
                <w:sz w:val="20"/>
                <w:szCs w:val="20"/>
                <w:color w:val="auto"/>
              </w:rPr>
            </w:pPr>
          </w:p>
        </w:tc>
        <w:tc>
          <w:tcPr>
            <w:tcW w:w="11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09"/>
        </w:trPr>
        <w:tc>
          <w:tcPr>
            <w:tcW w:w="4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86,417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86,636</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14,950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14,960</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14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68,943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68,977</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treasuries</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6,026</w:t>
            </w:r>
          </w:p>
        </w:tc>
      </w:tr>
      <w:tr>
        <w:trPr>
          <w:trHeight w:val="22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4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1,664</w:t>
            </w:r>
          </w:p>
        </w:tc>
      </w:tr>
      <w:tr>
        <w:trPr>
          <w:trHeight w:val="210"/>
        </w:trPr>
        <w:tc>
          <w:tcPr>
            <w:tcW w:w="456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177,983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178,263</w:t>
            </w:r>
          </w:p>
        </w:tc>
      </w:tr>
      <w:tr>
        <w:trPr>
          <w:trHeight w:val="20"/>
        </w:trPr>
        <w:tc>
          <w:tcPr>
            <w:tcW w:w="4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tbl>
      <w:tblPr>
        <w:tblLayout w:type="fixed"/>
        <w:tblInd w:w="2232" w:type="dxa"/>
        <w:tblCellMar>
          <w:top w:w="0" w:type="dxa"/>
          <w:left w:w="0" w:type="dxa"/>
          <w:bottom w:w="0" w:type="dxa"/>
          <w:right w:w="0" w:type="dxa"/>
        </w:tblCellMar>
      </w:tblPr>
      <w:tr>
        <w:trPr>
          <w:trHeight w:val="238"/>
        </w:trPr>
        <w:tc>
          <w:tcPr>
            <w:tcW w:w="45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187"/>
        </w:trPr>
        <w:tc>
          <w:tcPr>
            <w:tcW w:w="4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Pr>
          <w:p>
            <w:pPr>
              <w:spacing w:after="0"/>
              <w:rPr>
                <w:sz w:val="16"/>
                <w:szCs w:val="16"/>
                <w:color w:val="auto"/>
              </w:rPr>
            </w:pPr>
          </w:p>
        </w:tc>
        <w:tc>
          <w:tcPr>
            <w:tcW w:w="960" w:type="dxa"/>
            <w:vAlign w:val="bottom"/>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w:t>
            </w:r>
          </w:p>
        </w:tc>
      </w:tr>
      <w:tr>
        <w:trPr>
          <w:trHeight w:val="238"/>
        </w:trPr>
        <w:tc>
          <w:tcPr>
            <w:tcW w:w="45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31, 2025</w:t>
            </w:r>
          </w:p>
        </w:tc>
      </w:tr>
      <w:tr>
        <w:trPr>
          <w:trHeight w:val="21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Maturing in one year or less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73,700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126,119</w:t>
            </w:r>
          </w:p>
        </w:tc>
      </w:tr>
      <w:tr>
        <w:trPr>
          <w:trHeight w:val="230"/>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Maturing after one year through two years</w:t>
            </w: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65,819</w:t>
            </w: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52,144</w:t>
            </w:r>
          </w:p>
        </w:tc>
      </w:tr>
      <w:tr>
        <w:trPr>
          <w:trHeight w:val="210"/>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139,519</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178,263</w:t>
            </w:r>
          </w:p>
        </w:tc>
      </w:tr>
      <w:tr>
        <w:trPr>
          <w:trHeight w:val="20"/>
        </w:trPr>
        <w:tc>
          <w:tcPr>
            <w:tcW w:w="4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492" w:hanging="492"/>
        <w:spacing w:after="0"/>
        <w:tabs>
          <w:tab w:leader="none" w:pos="492"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229" w:lineRule="exact"/>
        <w:rPr>
          <w:rFonts w:ascii="Times New Roman" w:cs="Times New Roman" w:eastAsia="Times New Roman" w:hAnsi="Times New Roman"/>
          <w:sz w:val="18"/>
          <w:szCs w:val="18"/>
          <w:b w:val="1"/>
          <w:bCs w:val="1"/>
          <w:color w:val="auto"/>
        </w:rPr>
      </w:pPr>
    </w:p>
    <w:p>
      <w:pPr>
        <w:ind w:left="49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consist of the following (in thousands):</w:t>
      </w:r>
    </w:p>
    <w:p>
      <w:pPr>
        <w:spacing w:after="0" w:line="221" w:lineRule="exact"/>
        <w:rPr>
          <w:sz w:val="20"/>
          <w:szCs w:val="20"/>
          <w:color w:val="auto"/>
        </w:rPr>
      </w:pPr>
    </w:p>
    <w:tbl>
      <w:tblPr>
        <w:tblLayout w:type="fixed"/>
        <w:tblInd w:w="492" w:type="dxa"/>
        <w:tblCellMar>
          <w:top w:w="0" w:type="dxa"/>
          <w:left w:w="0" w:type="dxa"/>
          <w:bottom w:w="0" w:type="dxa"/>
          <w:right w:w="0" w:type="dxa"/>
        </w:tblCellMar>
      </w:tblPr>
      <w:tr>
        <w:trPr>
          <w:trHeight w:val="216"/>
        </w:trPr>
        <w:tc>
          <w:tcPr>
            <w:tcW w:w="6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18"/>
                <w:szCs w:val="18"/>
                <w:color w:val="auto"/>
              </w:rPr>
            </w:pPr>
          </w:p>
        </w:tc>
        <w:tc>
          <w:tcPr>
            <w:tcW w:w="14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7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4,741</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1,612</w:t>
            </w: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364</w:t>
            </w:r>
          </w:p>
        </w:tc>
      </w:tr>
      <w:tr>
        <w:trPr>
          <w:trHeight w:val="230"/>
        </w:trPr>
        <w:tc>
          <w:tcPr>
            <w:tcW w:w="6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r>
      <w:tr>
        <w:trPr>
          <w:trHeight w:val="209"/>
        </w:trPr>
        <w:tc>
          <w:tcPr>
            <w:tcW w:w="6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property and equipment–at cost</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6,739</w:t>
            </w:r>
          </w:p>
        </w:tc>
      </w:tr>
      <w:tr>
        <w:trPr>
          <w:trHeight w:val="216"/>
        </w:trPr>
        <w:tc>
          <w:tcPr>
            <w:tcW w:w="6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(6,637)</w:t>
            </w:r>
          </w:p>
        </w:tc>
      </w:tr>
      <w:tr>
        <w:trPr>
          <w:trHeight w:val="210"/>
        </w:trPr>
        <w:tc>
          <w:tcPr>
            <w:tcW w:w="67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w:t>
            </w:r>
          </w:p>
        </w:tc>
      </w:tr>
      <w:tr>
        <w:trPr>
          <w:trHeight w:val="20"/>
        </w:trPr>
        <w:tc>
          <w:tcPr>
            <w:tcW w:w="6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12" w:right="8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for each of the three months ended March 31, 2026 and 2025 was $15 thousand and $140 thousand respectively.</w:t>
      </w:r>
    </w:p>
    <w:p>
      <w:pPr>
        <w:spacing w:after="0" w:line="162" w:lineRule="exact"/>
        <w:rPr>
          <w:sz w:val="20"/>
          <w:szCs w:val="20"/>
          <w:color w:val="auto"/>
        </w:rPr>
      </w:pPr>
    </w:p>
    <w:p>
      <w:pPr>
        <w:ind w:left="5572"/>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92"/>
          </w:cols>
          <w:pgMar w:left="328" w:top="580" w:right="979" w:bottom="1440" w:gutter="0" w:footer="0" w:header="0"/>
        </w:sectPr>
      </w:pPr>
    </w:p>
    <w:bookmarkStart w:id="9" w:name="page10"/>
    <w:bookmarkEnd w:id="9"/>
    <w:p>
      <w:pPr>
        <w:ind w:left="500" w:hanging="492"/>
        <w:spacing w:after="0"/>
        <w:tabs>
          <w:tab w:leader="none" w:pos="5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w:t>
      </w:r>
    </w:p>
    <w:p>
      <w:pPr>
        <w:spacing w:after="0" w:line="229"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Accrued expenses consist of the following (in thousands):</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6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18"/>
                <w:szCs w:val="18"/>
                <w:color w:val="auto"/>
              </w:rPr>
            </w:pPr>
          </w:p>
        </w:tc>
        <w:tc>
          <w:tcPr>
            <w:tcW w:w="14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7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Project expenses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6,107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8,217</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2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2,682</w:t>
            </w: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484</w:t>
            </w:r>
          </w:p>
        </w:tc>
      </w:tr>
      <w:tr>
        <w:trPr>
          <w:trHeight w:val="209"/>
        </w:trPr>
        <w:tc>
          <w:tcPr>
            <w:tcW w:w="6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accrued expenses</w:t>
            </w: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11,383</w:t>
            </w:r>
          </w:p>
        </w:tc>
      </w:tr>
      <w:tr>
        <w:trPr>
          <w:trHeight w:val="20"/>
        </w:trPr>
        <w:tc>
          <w:tcPr>
            <w:tcW w:w="6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Project expenses includes $5.9 million of accrued manufacturing expenses primarily related to tovecimig.</w:t>
      </w:r>
    </w:p>
    <w:p>
      <w:pPr>
        <w:spacing w:after="0" w:line="200" w:lineRule="exact"/>
        <w:rPr>
          <w:sz w:val="20"/>
          <w:szCs w:val="20"/>
          <w:color w:val="auto"/>
        </w:rPr>
      </w:pPr>
    </w:p>
    <w:p>
      <w:pPr>
        <w:spacing w:after="0" w:line="264" w:lineRule="exact"/>
        <w:rPr>
          <w:sz w:val="20"/>
          <w:szCs w:val="20"/>
          <w:color w:val="auto"/>
        </w:rPr>
      </w:pPr>
    </w:p>
    <w:p>
      <w:pPr>
        <w:ind w:left="500" w:right="8200" w:hanging="492"/>
        <w:spacing w:after="0" w:line="502" w:lineRule="auto"/>
        <w:tabs>
          <w:tab w:leader="none" w:pos="5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Leases</w:t>
      </w:r>
    </w:p>
    <w:p>
      <w:pPr>
        <w:ind w:left="500" w:right="20"/>
        <w:spacing w:after="0" w:line="28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Company has evaluated its leases under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and determined that it has one lease that is classified as an operating lease. The classification of this lease is consistent with the Company’s determination under the previous accounting standard.</w:t>
      </w:r>
    </w:p>
    <w:p>
      <w:pPr>
        <w:spacing w:after="0" w:line="160" w:lineRule="exact"/>
        <w:rPr>
          <w:rFonts w:ascii="Times New Roman" w:cs="Times New Roman" w:eastAsia="Times New Roman" w:hAnsi="Times New Roman"/>
          <w:sz w:val="18"/>
          <w:szCs w:val="18"/>
          <w:b w:val="1"/>
          <w:bCs w:val="1"/>
          <w:color w:val="auto"/>
        </w:rPr>
      </w:pPr>
    </w:p>
    <w:p>
      <w:pPr>
        <w:jc w:val="both"/>
        <w:ind w:left="50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terms of the Company’s only corporate office and laboratory facility (the “Facility”) lease were modified effective September 27, 2024 through the execution of a new lease. The modified terms extended the non-cancelable lease term through May 2031. The modified terms also included the right to use an additional 10,724 square feet that became available for the Company’s use in May 2025. The classification and incremental borrowing rate for the lease did not change as a result of this lease modification. Right-of-use assets obtained in exchange for the new operating lease liabilities due to the lease modification were $9.9 million for a total right-of-use assets as of March 31, 2026 of $8.7 million. The remaining lease term of the Facility lease is 5.2 years as of March 31, 2026. The Company has $568 thousand of restricted cash associated with an irrevocable letter of credit required by the landlord to enter into this lease.</w:t>
      </w:r>
    </w:p>
    <w:p>
      <w:pPr>
        <w:spacing w:after="0" w:line="188" w:lineRule="exact"/>
        <w:rPr>
          <w:rFonts w:ascii="Times New Roman" w:cs="Times New Roman" w:eastAsia="Times New Roman" w:hAnsi="Times New Roman"/>
          <w:sz w:val="18"/>
          <w:szCs w:val="18"/>
          <w:b w:val="1"/>
          <w:bCs w:val="1"/>
          <w:color w:val="auto"/>
        </w:rPr>
      </w:pPr>
    </w:p>
    <w:p>
      <w:pPr>
        <w:ind w:left="50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Lease costs related to the Facility were $0.5 million and $0.3 million for the three months ended March 31, 2026 and 2025, respectively. Cash payments related to the Facility were $0.2 million and $0.3 million for the three months ended March 31, 2026 and 2025, respectively.</w:t>
      </w:r>
    </w:p>
    <w:p>
      <w:pPr>
        <w:spacing w:after="0" w:line="162" w:lineRule="exact"/>
        <w:rPr>
          <w:sz w:val="20"/>
          <w:szCs w:val="20"/>
          <w:color w:val="auto"/>
        </w:rPr>
      </w:pPr>
    </w:p>
    <w:p>
      <w:pPr>
        <w:ind w:left="500" w:right="20"/>
        <w:spacing w:after="0" w:line="282" w:lineRule="auto"/>
        <w:rPr>
          <w:sz w:val="20"/>
          <w:szCs w:val="20"/>
          <w:color w:val="auto"/>
        </w:rPr>
      </w:pPr>
      <w:r>
        <w:rPr>
          <w:rFonts w:ascii="Times New Roman" w:cs="Times New Roman" w:eastAsia="Times New Roman" w:hAnsi="Times New Roman"/>
          <w:sz w:val="18"/>
          <w:szCs w:val="18"/>
          <w:color w:val="auto"/>
        </w:rPr>
        <w:t>The table below presents the undiscounted cash flows for the lease term. The undiscounted cash flows are reconciled to the operating lease liabilities recorded on the condensed consolidated balance sheet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2026</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Years ending December 31,</w:t>
            </w: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2031</w:t>
            </w: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40" w:type="dxa"/>
            <w:vAlign w:val="bottom"/>
          </w:tcPr>
          <w:p>
            <w:pPr>
              <w:spacing w:after="0"/>
              <w:rPr>
                <w:sz w:val="18"/>
                <w:szCs w:val="18"/>
                <w:color w:val="auto"/>
              </w:rPr>
            </w:pPr>
          </w:p>
        </w:tc>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11,432</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amount of lease payments representing interest</w:t>
            </w: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40" w:type="dxa"/>
            <w:vAlign w:val="bottom"/>
          </w:tcPr>
          <w:p>
            <w:pPr>
              <w:spacing w:after="0"/>
              <w:rPr>
                <w:sz w:val="18"/>
                <w:szCs w:val="18"/>
                <w:color w:val="auto"/>
              </w:rPr>
            </w:pPr>
          </w:p>
        </w:tc>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Present value of future minimum lease payments</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9,791</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operating lease obligations, current portion</w:t>
            </w: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40" w:type="dxa"/>
            <w:vAlign w:val="bottom"/>
          </w:tcPr>
          <w:p>
            <w:pPr>
              <w:spacing w:after="0"/>
              <w:rPr>
                <w:sz w:val="18"/>
                <w:szCs w:val="18"/>
                <w:color w:val="auto"/>
              </w:rPr>
            </w:pPr>
          </w:p>
        </w:tc>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obligations, long-term portion</w:t>
            </w: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8,418</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5660" w:type="dxa"/>
            <w:vAlign w:val="bottom"/>
            <w:vMerge w:val="restart"/>
          </w:tcPr>
          <w:p>
            <w:pPr>
              <w:ind w:left="3340"/>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2240" w:type="dxa"/>
            <w:vAlign w:val="bottom"/>
          </w:tcPr>
          <w:p>
            <w:pPr>
              <w:spacing w:after="0"/>
              <w:rPr>
                <w:sz w:val="24"/>
                <w:szCs w:val="24"/>
                <w:color w:val="auto"/>
              </w:rPr>
            </w:pPr>
          </w:p>
        </w:tc>
        <w:tc>
          <w:tcPr>
            <w:tcW w:w="56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40" w:type="dxa"/>
            <w:vAlign w:val="bottom"/>
            <w:tcBorders>
              <w:bottom w:val="single" w:sz="8" w:color="auto"/>
            </w:tcBorders>
          </w:tcPr>
          <w:p>
            <w:pPr>
              <w:spacing w:after="0"/>
              <w:rPr>
                <w:sz w:val="10"/>
                <w:szCs w:val="10"/>
                <w:color w:val="auto"/>
              </w:rPr>
            </w:pPr>
          </w:p>
        </w:tc>
        <w:tc>
          <w:tcPr>
            <w:tcW w:w="56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2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9" w:right="339" w:bottom="1440" w:gutter="0" w:footer="0" w:header="0"/>
        </w:sectPr>
      </w:pPr>
    </w:p>
    <w:bookmarkStart w:id="10" w:name="page11"/>
    <w:bookmarkEnd w:id="10"/>
    <w:p>
      <w:pPr>
        <w:ind w:left="500"/>
        <w:spacing w:after="0"/>
        <w:rPr>
          <w:sz w:val="20"/>
          <w:szCs w:val="20"/>
          <w:color w:val="auto"/>
        </w:rPr>
      </w:pPr>
      <w:r>
        <w:rPr>
          <w:rFonts w:ascii="Times New Roman" w:cs="Times New Roman" w:eastAsia="Times New Roman" w:hAnsi="Times New Roman"/>
          <w:sz w:val="18"/>
          <w:szCs w:val="18"/>
          <w:b w:val="1"/>
          <w:bCs w:val="1"/>
          <w:color w:val="auto"/>
        </w:rPr>
        <w:t>Defined Contribution Plan</w:t>
      </w:r>
    </w:p>
    <w:p>
      <w:pPr>
        <w:spacing w:after="0" w:line="229"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The Company has a 401(k) defined contribution plan (the “401(k) Plan”) for substantially all its employees. Eligible employees may make pre-tax or post-tax (Roth) contributions to the 401(k) Plan up to statutory limits. The Company matches employee contributions to the plan up to 6% of salary. The Company made matching contributions of $0.2 million and $0.1 million for the three months ended March 31, 2026 and 2025 respectively.</w:t>
      </w:r>
    </w:p>
    <w:p>
      <w:pPr>
        <w:spacing w:after="0" w:line="200" w:lineRule="exact"/>
        <w:rPr>
          <w:sz w:val="20"/>
          <w:szCs w:val="20"/>
          <w:color w:val="auto"/>
        </w:rPr>
      </w:pPr>
    </w:p>
    <w:p>
      <w:pPr>
        <w:spacing w:after="0" w:line="215" w:lineRule="exact"/>
        <w:rPr>
          <w:sz w:val="20"/>
          <w:szCs w:val="20"/>
          <w:color w:val="auto"/>
        </w:rPr>
      </w:pPr>
    </w:p>
    <w:p>
      <w:pPr>
        <w:ind w:left="500" w:hanging="492"/>
        <w:spacing w:after="0"/>
        <w:tabs>
          <w:tab w:leader="none" w:pos="5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rFonts w:ascii="Times New Roman" w:cs="Times New Roman" w:eastAsia="Times New Roman" w:hAnsi="Times New Roman"/>
          <w:sz w:val="18"/>
          <w:szCs w:val="18"/>
          <w:b w:val="1"/>
          <w:bCs w:val="1"/>
          <w:color w:val="auto"/>
        </w:rPr>
      </w:pPr>
    </w:p>
    <w:p>
      <w:pPr>
        <w:ind w:left="5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Stock-based compensation expense for the three months ended March 31, 2026 and 2025 was classified in the condensed consolidated statement of operations as follows (in thousands):</w:t>
      </w:r>
    </w:p>
    <w:p>
      <w:pPr>
        <w:spacing w:after="0" w:line="158" w:lineRule="exact"/>
        <w:rPr>
          <w:sz w:val="20"/>
          <w:szCs w:val="20"/>
          <w:color w:val="auto"/>
        </w:rPr>
      </w:pPr>
    </w:p>
    <w:p>
      <w:pPr>
        <w:jc w:val="center"/>
        <w:ind w:left="44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44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5715</wp:posOffset>
            </wp:positionV>
            <wp:extent cx="14058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ind w:left="7100"/>
        <w:spacing w:after="0"/>
        <w:tabs>
          <w:tab w:leader="none" w:pos="8220" w:val="left"/>
        </w:tabs>
        <w:rPr>
          <w:sz w:val="20"/>
          <w:szCs w:val="20"/>
          <w:color w:val="auto"/>
        </w:rPr>
      </w:pPr>
      <w:r>
        <w:rPr>
          <w:rFonts w:ascii="Times New Roman" w:cs="Times New Roman" w:eastAsia="Times New Roman" w:hAnsi="Times New Roman"/>
          <w:sz w:val="18"/>
          <w:szCs w:val="18"/>
          <w:b w:val="1"/>
          <w:bCs w:val="1"/>
          <w:color w:val="auto"/>
        </w:rPr>
        <w:t>2026</w:t>
      </w:r>
      <w:r>
        <w:rPr>
          <w:sz w:val="20"/>
          <w:szCs w:val="20"/>
          <w:color w:val="auto"/>
        </w:rPr>
        <w:tab/>
      </w:r>
      <w:r>
        <w:rPr>
          <w:rFonts w:ascii="Times New Roman" w:cs="Times New Roman" w:eastAsia="Times New Roman" w:hAnsi="Times New Roman"/>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14605</wp:posOffset>
            </wp:positionV>
            <wp:extent cx="14058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32" w:lineRule="exact"/>
        <w:rPr>
          <w:sz w:val="20"/>
          <w:szCs w:val="20"/>
          <w:color w:val="auto"/>
        </w:rPr>
      </w:pPr>
    </w:p>
    <w:tbl>
      <w:tblPr>
        <w:tblLayout w:type="fixed"/>
        <w:tblInd w:w="2240" w:type="dxa"/>
        <w:tblCellMar>
          <w:top w:w="0" w:type="dxa"/>
          <w:left w:w="0" w:type="dxa"/>
          <w:bottom w:w="0" w:type="dxa"/>
          <w:right w:w="0" w:type="dxa"/>
        </w:tblCellMar>
      </w:tblPr>
      <w:tr>
        <w:trPr>
          <w:trHeight w:val="216"/>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r>
      <w:tr>
        <w:trPr>
          <w:trHeight w:val="216"/>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3,729</w:t>
            </w:r>
          </w:p>
        </w:tc>
        <w:tc>
          <w:tcPr>
            <w:tcW w:w="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1,707</w:t>
            </w:r>
          </w:p>
        </w:tc>
      </w:tr>
      <w:tr>
        <w:trPr>
          <w:trHeight w:val="210"/>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5,073</w:t>
            </w:r>
          </w:p>
        </w:tc>
        <w:tc>
          <w:tcPr>
            <w:tcW w:w="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w:t>
            </w:r>
          </w:p>
        </w:tc>
      </w:tr>
      <w:tr>
        <w:trPr>
          <w:trHeight w:val="20"/>
        </w:trPr>
        <w:tc>
          <w:tcPr>
            <w:tcW w:w="4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500"/>
        <w:spacing w:after="0" w:line="282" w:lineRule="auto"/>
        <w:rPr>
          <w:sz w:val="20"/>
          <w:szCs w:val="20"/>
          <w:color w:val="auto"/>
        </w:rPr>
      </w:pPr>
      <w:r>
        <w:rPr>
          <w:rFonts w:ascii="Times New Roman" w:cs="Times New Roman" w:eastAsia="Times New Roman" w:hAnsi="Times New Roman"/>
          <w:sz w:val="18"/>
          <w:szCs w:val="18"/>
          <w:color w:val="auto"/>
        </w:rPr>
        <w:t>As of March 31, 2026, the remaining unrecognized stock-based compensation cost from all plans to be recognized in future periods totaled $50.0 million.</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2020 Plan</w:t>
      </w:r>
    </w:p>
    <w:p>
      <w:pPr>
        <w:spacing w:after="0" w:line="229"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In June 2020, the Company’s board of directors adopted the 2020 Stock Option and Incentive Plan (the “2020 Plan”) and reserved 2.9 million shares of common stock for issuance under this plan. The 2020 Plan includes automatic annual increases. The increase on January 1, 2026 was 7.1 million shares. As of March 31, 2026, 5.1 million shares remain available for grant.</w:t>
      </w:r>
    </w:p>
    <w:p>
      <w:pPr>
        <w:spacing w:after="0" w:line="176"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The 2020 Plan authorizes the board of directors or a committee of the board to grant incentive stock options, nonqualified stock options, restricted stock awards and restricted stock units ("RSUs") to eligible officers, employees, consultants and directors of the Company. Options generally vest over a period of four years and have a contractual life of ten years from the date of grant.</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2025 Inducement Plan</w:t>
      </w:r>
    </w:p>
    <w:p>
      <w:pPr>
        <w:spacing w:after="0" w:line="229"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In December 2025, the Company’s board of directors adopted the Compass Therapeutics, Inc. 2025 Inducement Plan (the “Inducement Plan”). The maximum number of shares of Stock reserved and available for issuance under the Inducement Plan is four million shares. As of March 31, 2026, a total of two million options were granted as part of the Inducement Plan to two new officers as a material inducement for those officers to join the Company.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6"/>
        </w:trPr>
        <w:tc>
          <w:tcPr>
            <w:tcW w:w="4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Stock Options:</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32"/>
        </w:trPr>
        <w:tc>
          <w:tcPr>
            <w:tcW w:w="740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The following table summarizes the stock option activity for the 2020 Plan and 2025 Inducement Plan:</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10"/>
        </w:trPr>
        <w:tc>
          <w:tcPr>
            <w:tcW w:w="45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16"/>
        </w:trPr>
        <w:tc>
          <w:tcPr>
            <w:tcW w:w="4560" w:type="dxa"/>
            <w:vAlign w:val="bottom"/>
          </w:tcPr>
          <w:p>
            <w:pPr>
              <w:spacing w:after="0"/>
              <w:rPr>
                <w:sz w:val="18"/>
                <w:szCs w:val="18"/>
                <w:color w:val="auto"/>
              </w:rPr>
            </w:pPr>
          </w:p>
        </w:tc>
        <w:tc>
          <w:tcPr>
            <w:tcW w:w="13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6"/>
        </w:trPr>
        <w:tc>
          <w:tcPr>
            <w:tcW w:w="4560" w:type="dxa"/>
            <w:vAlign w:val="bottom"/>
          </w:tcPr>
          <w:p>
            <w:pPr>
              <w:spacing w:after="0"/>
              <w:rPr>
                <w:sz w:val="18"/>
                <w:szCs w:val="18"/>
                <w:color w:val="auto"/>
              </w:rPr>
            </w:pPr>
          </w:p>
        </w:tc>
        <w:tc>
          <w:tcPr>
            <w:tcW w:w="13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Unvested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3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30"/>
        </w:trPr>
        <w:tc>
          <w:tcPr>
            <w:tcW w:w="4560" w:type="dxa"/>
            <w:vAlign w:val="bottom"/>
          </w:tcPr>
          <w:p>
            <w:pPr>
              <w:spacing w:after="0"/>
              <w:rPr>
                <w:sz w:val="19"/>
                <w:szCs w:val="19"/>
                <w:color w:val="auto"/>
              </w:rPr>
            </w:pPr>
          </w:p>
        </w:tc>
        <w:tc>
          <w:tcPr>
            <w:tcW w:w="13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38"/>
        </w:trPr>
        <w:tc>
          <w:tcPr>
            <w:tcW w:w="45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(000's)</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80" w:type="dxa"/>
            <w:vAlign w:val="bottom"/>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Term (in years)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($000's)</w:t>
            </w:r>
          </w:p>
        </w:tc>
      </w:tr>
      <w:tr>
        <w:trPr>
          <w:trHeight w:val="209"/>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16,352</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3.13</w:t>
            </w: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6.69</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36,614</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9,311</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5.18</w:t>
            </w:r>
          </w:p>
        </w:tc>
        <w:tc>
          <w:tcPr>
            <w:tcW w:w="8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3.62</w:t>
            </w: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5,291</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Forfeited/canceled</w:t>
            </w: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March 31, 2026</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23,302</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3.90</w:t>
            </w:r>
          </w:p>
        </w:tc>
        <w:tc>
          <w:tcPr>
            <w:tcW w:w="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8.40</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32,473</w:t>
            </w:r>
          </w:p>
        </w:tc>
      </w:tr>
      <w:tr>
        <w:trPr>
          <w:trHeight w:val="197"/>
        </w:trPr>
        <w:tc>
          <w:tcPr>
            <w:tcW w:w="45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Vested at March 31, 2026</w:t>
            </w:r>
          </w:p>
        </w:tc>
        <w:tc>
          <w:tcPr>
            <w:tcW w:w="134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8,168</w:t>
            </w:r>
          </w:p>
        </w:tc>
        <w:tc>
          <w:tcPr>
            <w:tcW w:w="26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3.31</w:t>
            </w:r>
          </w:p>
        </w:tc>
        <w:tc>
          <w:tcPr>
            <w:tcW w:w="80" w:type="dxa"/>
            <w:vAlign w:val="bottom"/>
          </w:tcPr>
          <w:p>
            <w:pPr>
              <w:spacing w:after="0"/>
              <w:rPr>
                <w:sz w:val="17"/>
                <w:szCs w:val="17"/>
                <w:color w:val="auto"/>
              </w:rPr>
            </w:pPr>
          </w:p>
        </w:tc>
        <w:tc>
          <w:tcPr>
            <w:tcW w:w="13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6.82</w:t>
            </w:r>
          </w:p>
        </w:tc>
        <w:tc>
          <w:tcPr>
            <w:tcW w:w="24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16,177</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the weighted average grant date fair value for options granted was $3.79. The intrinsic value for options vested as of March 31, 2026, was $16.2 million. As of March 31, 2026, the total unrecognized compensation cost related to outstanding options was $44.4 million, to be recognized over a weighted average period of 1.6 years.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the weighted average grant date fair value for options granted was $2.68. The intrinsic value for options vested as of March 31, 2025 was $0.4 million.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weighted average assumptions used in the Black-Scholes pricing model to determine the fair value of stock options granted during the three months ended March 31, 2026 and 2025 were as follows:</w:t>
      </w:r>
    </w:p>
    <w:p>
      <w:pPr>
        <w:spacing w:after="0" w:line="158" w:lineRule="exact"/>
        <w:rPr>
          <w:sz w:val="20"/>
          <w:szCs w:val="20"/>
          <w:color w:val="auto"/>
        </w:rPr>
      </w:pPr>
    </w:p>
    <w:tbl>
      <w:tblPr>
        <w:tblLayout w:type="fixed"/>
        <w:tblInd w:w="174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2340" w:type="dxa"/>
            <w:vAlign w:val="bottom"/>
            <w:gridSpan w:val="4"/>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38"/>
        </w:trPr>
        <w:tc>
          <w:tcPr>
            <w:tcW w:w="4400" w:type="dxa"/>
            <w:vAlign w:val="bottom"/>
          </w:tcPr>
          <w:p>
            <w:pPr>
              <w:spacing w:after="0"/>
              <w:rPr>
                <w:sz w:val="20"/>
                <w:szCs w:val="20"/>
                <w:color w:val="auto"/>
              </w:rPr>
            </w:pPr>
          </w:p>
        </w:tc>
        <w:tc>
          <w:tcPr>
            <w:tcW w:w="1500" w:type="dxa"/>
            <w:vAlign w:val="bottom"/>
            <w:tcBorders>
              <w:bottom w:val="single" w:sz="8" w:color="auto"/>
            </w:tcBorders>
            <w:gridSpan w:val="3"/>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40" w:type="dxa"/>
            <w:vAlign w:val="bottom"/>
            <w:tcBorders>
              <w:bottom w:val="single" w:sz="8" w:color="auto"/>
            </w:tcBorders>
          </w:tcPr>
          <w:p>
            <w:pPr>
              <w:spacing w:after="0"/>
              <w:rPr>
                <w:sz w:val="20"/>
                <w:szCs w:val="20"/>
                <w:color w:val="auto"/>
              </w:rPr>
            </w:pPr>
          </w:p>
        </w:tc>
      </w:tr>
      <w:tr>
        <w:trPr>
          <w:trHeight w:val="210"/>
        </w:trPr>
        <w:tc>
          <w:tcPr>
            <w:tcW w:w="44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1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1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6.0</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r>
      <w:tr>
        <w:trPr>
          <w:trHeight w:val="216"/>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34"/>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50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RSUs: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RSU activity for the 2020 Plan and 2025 Inducement Plan: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Weighted</w:t>
            </w:r>
          </w:p>
        </w:tc>
      </w:tr>
      <w:tr>
        <w:trPr>
          <w:trHeight w:val="216"/>
        </w:trPr>
        <w:tc>
          <w:tcPr>
            <w:tcW w:w="4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Average Price</w:t>
            </w:r>
          </w:p>
        </w:tc>
        <w:tc>
          <w:tcPr>
            <w:tcW w:w="100" w:type="dxa"/>
            <w:vAlign w:val="bottom"/>
          </w:tcPr>
          <w:p>
            <w:pPr>
              <w:spacing w:after="0"/>
              <w:rPr>
                <w:sz w:val="18"/>
                <w:szCs w:val="18"/>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Average Fair Value</w:t>
            </w:r>
          </w:p>
        </w:tc>
      </w:tr>
      <w:tr>
        <w:trPr>
          <w:trHeight w:val="238"/>
        </w:trPr>
        <w:tc>
          <w:tcPr>
            <w:tcW w:w="4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(000's)</w:t>
            </w:r>
          </w:p>
        </w:tc>
        <w:tc>
          <w:tcPr>
            <w:tcW w:w="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($000's)</w:t>
            </w:r>
          </w:p>
        </w:tc>
      </w:tr>
      <w:tr>
        <w:trPr>
          <w:trHeight w:val="209"/>
        </w:trPr>
        <w:tc>
          <w:tcPr>
            <w:tcW w:w="6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December 31, 2025</w:t>
            </w:r>
          </w:p>
        </w:tc>
        <w:tc>
          <w:tcPr>
            <w:tcW w:w="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1,028</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2,395</w:t>
            </w:r>
          </w:p>
        </w:tc>
      </w:tr>
      <w:tr>
        <w:trPr>
          <w:trHeight w:val="216"/>
        </w:trPr>
        <w:tc>
          <w:tcPr>
            <w:tcW w:w="6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Granted</w:t>
            </w: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4,458</w:t>
            </w:r>
          </w:p>
        </w:tc>
      </w:tr>
      <w:tr>
        <w:trPr>
          <w:trHeight w:val="216"/>
        </w:trPr>
        <w:tc>
          <w:tcPr>
            <w:tcW w:w="6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r>
      <w:tr>
        <w:trPr>
          <w:trHeight w:val="21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 or canceled</w:t>
            </w:r>
          </w:p>
        </w:tc>
        <w:tc>
          <w:tcPr>
            <w:tcW w:w="10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March 31, 2026</w:t>
            </w:r>
          </w:p>
        </w:tc>
        <w:tc>
          <w:tcPr>
            <w:tcW w:w="10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1,606</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6,055</w:t>
            </w:r>
          </w:p>
        </w:tc>
      </w:tr>
      <w:tr>
        <w:trPr>
          <w:trHeight w:val="20"/>
        </w:trPr>
        <w:tc>
          <w:tcPr>
            <w:tcW w:w="4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weighted average price per share is the weighted grant price based on the closing market price of each of the stock grants. The weighted average fair value is the weighted average share price times the number of shares.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March 31, 2026, the remaining unrecognized compensation cost related to RSUs to be recognized in future periods totaled $5.6 million, which is expected to be recognized over a weighted average period of 1.9 years.</w:t>
      </w:r>
    </w:p>
    <w:p>
      <w:pPr>
        <w:spacing w:after="0" w:line="378"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820" w:top="578" w:right="339" w:bottom="1440" w:gutter="0" w:footer="0" w:header="0"/>
        </w:sectPr>
      </w:pPr>
    </w:p>
    <w:bookmarkStart w:id="12" w:name="page13"/>
    <w:bookmarkEnd w:id="12"/>
    <w:p>
      <w:pPr>
        <w:ind w:left="500" w:hanging="492"/>
        <w:spacing w:after="0"/>
        <w:tabs>
          <w:tab w:leader="none" w:pos="5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229"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2025 Underwritten Offering</w:t>
      </w:r>
    </w:p>
    <w:p>
      <w:pPr>
        <w:spacing w:after="0" w:line="225" w:lineRule="exact"/>
        <w:rPr>
          <w:rFonts w:ascii="Times New Roman" w:cs="Times New Roman" w:eastAsia="Times New Roman" w:hAnsi="Times New Roman"/>
          <w:sz w:val="18"/>
          <w:szCs w:val="18"/>
          <w:b w:val="1"/>
          <w:bCs w:val="1"/>
          <w:color w:val="auto"/>
        </w:rPr>
      </w:pPr>
    </w:p>
    <w:p>
      <w:pPr>
        <w:jc w:val="both"/>
        <w:ind w:left="50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August 12, 2025, the Company entered into an underwriting agreement (the “Underwriting Agreement”) with Jefferies LLC, Piper Sandler &amp; Co., and Guggenheim Securities, LLC, as representatives (the “Representatives”) of the underwriters named therein (the “Underwriters”), pursuant to which the Company agreed to issue and sell an aggregate of (a) 33,290,000 shares (the “Firm Shares”) of its common stock, par value $0.0001 per share (the “Common Stock”), at a price to the public of $3.00 per share, and (b) pre-funded warrants to purchase up to 6,710,000 shares of the Company’s Common Stock (the “Pre-Funded Warrants”), at a price to the public of $2.9999 per warrant with an exercise price of $0.0001 per share (the “Offering”). Pursuant to the Underwriting Agreement, the Company granted the underwriters a 30-day option, which the underwriters exercised, to purchase up to an additional 6,000,000 shares of its Common Stock (the “Optional Shares”, and together with the Firm Shares, the “Shares”) at the public offering price, less underwriting discounts and commissions. The Company received aggregate net proceeds of $129.3 million, after deducting underwriting discounts and commissions of $8.3 million and other offering costs of $0.4 million.</w:t>
      </w:r>
    </w:p>
    <w:p>
      <w:pPr>
        <w:spacing w:after="0" w:line="188" w:lineRule="exact"/>
        <w:rPr>
          <w:rFonts w:ascii="Times New Roman" w:cs="Times New Roman" w:eastAsia="Times New Roman" w:hAnsi="Times New Roman"/>
          <w:sz w:val="18"/>
          <w:szCs w:val="18"/>
          <w:b w:val="1"/>
          <w:bCs w:val="1"/>
          <w:color w:val="auto"/>
        </w:rPr>
      </w:pPr>
    </w:p>
    <w:p>
      <w:pPr>
        <w:jc w:val="both"/>
        <w:ind w:left="50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2025 Pre-Funded Warrants were determined to be equity classified. Accordingly, proceeds from the offering were allocated to common stock, the 2025 Pre-Funded Warrants on a relative fair value basis and were recorded in stockholders’ equity. As of March 31, 2026, all of the 2025 Pre-Funded Warrants remain outstanding.</w:t>
      </w:r>
    </w:p>
    <w:p>
      <w:pPr>
        <w:spacing w:after="0" w:line="200" w:lineRule="exact"/>
        <w:rPr>
          <w:rFonts w:ascii="Times New Roman" w:cs="Times New Roman" w:eastAsia="Times New Roman" w:hAnsi="Times New Roman"/>
          <w:sz w:val="18"/>
          <w:szCs w:val="18"/>
          <w:b w:val="1"/>
          <w:bCs w:val="1"/>
          <w:color w:val="auto"/>
        </w:rPr>
      </w:pPr>
    </w:p>
    <w:p>
      <w:pPr>
        <w:spacing w:after="0" w:line="214" w:lineRule="exact"/>
        <w:rPr>
          <w:rFonts w:ascii="Times New Roman" w:cs="Times New Roman" w:eastAsia="Times New Roman" w:hAnsi="Times New Roman"/>
          <w:sz w:val="18"/>
          <w:szCs w:val="18"/>
          <w:b w:val="1"/>
          <w:bCs w:val="1"/>
          <w:color w:val="auto"/>
        </w:rPr>
      </w:pPr>
    </w:p>
    <w:p>
      <w:pPr>
        <w:ind w:left="500" w:hanging="492"/>
        <w:spacing w:after="0"/>
        <w:tabs>
          <w:tab w:leader="none" w:pos="5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Basic and Diluted Net Loss Per Share</w:t>
      </w:r>
    </w:p>
    <w:p>
      <w:pPr>
        <w:spacing w:after="0" w:line="229" w:lineRule="exact"/>
        <w:rPr>
          <w:rFonts w:ascii="Times New Roman" w:cs="Times New Roman" w:eastAsia="Times New Roman" w:hAnsi="Times New Roman"/>
          <w:sz w:val="18"/>
          <w:szCs w:val="18"/>
          <w:b w:val="1"/>
          <w:bCs w:val="1"/>
          <w:color w:val="auto"/>
        </w:rPr>
      </w:pPr>
    </w:p>
    <w:p>
      <w:pPr>
        <w:jc w:val="both"/>
        <w:ind w:left="5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net loss per share has been computed by dividing net loss by the weighted-average number of shares of common stock outstanding during the period. Diluted net loss per share is calculated by dividing net loss by the weighted-average number of shares of common stock plus potentially dilutive securities outstanding during the period. Potential shares of common stock exercisable for little or no consideration are included in both basic and diluted weighted-average number of shares of common stock outstanding.</w:t>
      </w:r>
    </w:p>
    <w:p>
      <w:pPr>
        <w:spacing w:after="0" w:line="179" w:lineRule="exact"/>
        <w:rPr>
          <w:rFonts w:ascii="Times New Roman" w:cs="Times New Roman" w:eastAsia="Times New Roman" w:hAnsi="Times New Roman"/>
          <w:sz w:val="18"/>
          <w:szCs w:val="18"/>
          <w:b w:val="1"/>
          <w:bCs w:val="1"/>
          <w:color w:val="auto"/>
        </w:rPr>
      </w:pPr>
    </w:p>
    <w:p>
      <w:pPr>
        <w:jc w:val="both"/>
        <w:ind w:left="5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three months ended March 31, 2026, basic and diluted weighted-average number of shares outstanding were 186.4 million and included pre-funded warrants to purchase 6,710,000 shares of common stock with an exercise price of $0.0001 per share. During the three months ended March 31, 2025, basic and diluted weighted-average number of shares outstanding were 138.2 million shares.</w:t>
      </w:r>
    </w:p>
    <w:p>
      <w:pPr>
        <w:spacing w:after="0" w:line="175" w:lineRule="exact"/>
        <w:rPr>
          <w:rFonts w:ascii="Times New Roman" w:cs="Times New Roman" w:eastAsia="Times New Roman" w:hAnsi="Times New Roman"/>
          <w:sz w:val="18"/>
          <w:szCs w:val="18"/>
          <w:b w:val="1"/>
          <w:bCs w:val="1"/>
          <w:color w:val="auto"/>
        </w:rPr>
      </w:pPr>
    </w:p>
    <w:p>
      <w:pPr>
        <w:jc w:val="both"/>
        <w:ind w:left="50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computation of diluted net loss per share for the three months ended March 31, 2026 excluded 24.9 million shares subject to outstanding stock options and restricted stock units because their inclusion would have had an anti-dilutive effect on diluted net loss per share. The computation of diluted net loss per share for the three months ended March 31, 2025 excluded 21.5 million shares, subject to outstanding stock options and restricted stock because their inclusion would have had an anti-dilutive effect on diluted net loss per share. The following potentially dilutive securities (in common stock equivalents) have been excluded from the computation of diluted weighted-average shares outstanding for the three months ended March 31, 2026 and 2025, as they would be antidilutive: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20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60" w:type="dxa"/>
            <w:vAlign w:val="bottom"/>
          </w:tcPr>
          <w:p>
            <w:pPr>
              <w:spacing w:after="0"/>
              <w:rPr>
                <w:sz w:val="18"/>
                <w:szCs w:val="18"/>
                <w:color w:val="auto"/>
              </w:rPr>
            </w:pPr>
          </w:p>
        </w:tc>
      </w:tr>
      <w:tr>
        <w:trPr>
          <w:trHeight w:val="238"/>
        </w:trPr>
        <w:tc>
          <w:tcPr>
            <w:tcW w:w="22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200" w:type="dxa"/>
            <w:vAlign w:val="bottom"/>
            <w:tcBorders>
              <w:bottom w:val="single" w:sz="8" w:color="auto"/>
            </w:tcBorders>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260" w:type="dxa"/>
            <w:vAlign w:val="bottom"/>
          </w:tcPr>
          <w:p>
            <w:pPr>
              <w:spacing w:after="0"/>
              <w:rPr>
                <w:sz w:val="20"/>
                <w:szCs w:val="20"/>
                <w:color w:val="auto"/>
              </w:rPr>
            </w:pPr>
          </w:p>
        </w:tc>
      </w:tr>
      <w:tr>
        <w:trPr>
          <w:trHeight w:val="210"/>
        </w:trPr>
        <w:tc>
          <w:tcPr>
            <w:tcW w:w="22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 w:type="dxa"/>
            <w:vAlign w:val="bottom"/>
          </w:tcPr>
          <w:p>
            <w:pPr>
              <w:spacing w:after="0"/>
              <w:rPr>
                <w:sz w:val="18"/>
                <w:szCs w:val="18"/>
                <w:color w:val="auto"/>
              </w:rPr>
            </w:pPr>
          </w:p>
        </w:tc>
        <w:tc>
          <w:tcPr>
            <w:tcW w:w="1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60" w:type="dxa"/>
            <w:vAlign w:val="bottom"/>
          </w:tcPr>
          <w:p>
            <w:pPr>
              <w:spacing w:after="0"/>
              <w:rPr>
                <w:sz w:val="18"/>
                <w:szCs w:val="18"/>
                <w:color w:val="auto"/>
              </w:rPr>
            </w:pPr>
          </w:p>
        </w:tc>
      </w:tr>
      <w:tr>
        <w:trPr>
          <w:trHeight w:val="210"/>
        </w:trPr>
        <w:tc>
          <w:tcPr>
            <w:tcW w:w="22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3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23,302,419</w:t>
            </w:r>
          </w:p>
        </w:tc>
        <w:tc>
          <w:tcPr>
            <w:tcW w:w="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18,544,104</w:t>
            </w:r>
          </w:p>
        </w:tc>
        <w:tc>
          <w:tcPr>
            <w:tcW w:w="2260" w:type="dxa"/>
            <w:vAlign w:val="bottom"/>
          </w:tcPr>
          <w:p>
            <w:pPr>
              <w:spacing w:after="0"/>
              <w:rPr>
                <w:sz w:val="18"/>
                <w:szCs w:val="18"/>
                <w:color w:val="auto"/>
              </w:rPr>
            </w:pPr>
          </w:p>
        </w:tc>
      </w:tr>
      <w:tr>
        <w:trPr>
          <w:trHeight w:val="234"/>
        </w:trPr>
        <w:tc>
          <w:tcPr>
            <w:tcW w:w="2240" w:type="dxa"/>
            <w:vAlign w:val="bottom"/>
          </w:tcPr>
          <w:p>
            <w:pPr>
              <w:spacing w:after="0"/>
              <w:rPr>
                <w:sz w:val="20"/>
                <w:szCs w:val="20"/>
                <w:color w:val="auto"/>
              </w:rPr>
            </w:pPr>
          </w:p>
        </w:tc>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1,606,250</w:t>
            </w:r>
          </w:p>
        </w:tc>
        <w:tc>
          <w:tcPr>
            <w:tcW w:w="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2,942,969</w:t>
            </w:r>
          </w:p>
        </w:tc>
        <w:tc>
          <w:tcPr>
            <w:tcW w:w="2260" w:type="dxa"/>
            <w:vAlign w:val="bottom"/>
          </w:tcPr>
          <w:p>
            <w:pPr>
              <w:spacing w:after="0"/>
              <w:rPr>
                <w:sz w:val="20"/>
                <w:szCs w:val="20"/>
                <w:color w:val="auto"/>
              </w:rPr>
            </w:pPr>
          </w:p>
        </w:tc>
      </w:tr>
      <w:tr>
        <w:trPr>
          <w:trHeight w:val="630"/>
        </w:trPr>
        <w:tc>
          <w:tcPr>
            <w:tcW w:w="22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10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11</w:t>
            </w: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115"/>
        </w:trPr>
        <w:tc>
          <w:tcPr>
            <w:tcW w:w="2240" w:type="dxa"/>
            <w:vAlign w:val="bottom"/>
            <w:tcBorders>
              <w:bottom w:val="single" w:sz="8" w:color="auto"/>
            </w:tcBorders>
          </w:tcPr>
          <w:p>
            <w:pPr>
              <w:spacing w:after="0"/>
              <w:rPr>
                <w:sz w:val="10"/>
                <w:szCs w:val="10"/>
                <w:color w:val="auto"/>
              </w:rPr>
            </w:pPr>
          </w:p>
        </w:tc>
        <w:tc>
          <w:tcPr>
            <w:tcW w:w="244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22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19" w:right="339" w:bottom="1440" w:gutter="0" w:footer="0" w:header="0"/>
        </w:sectPr>
      </w:pPr>
    </w:p>
    <w:bookmarkStart w:id="13" w:name="page14"/>
    <w:bookmarkEnd w:id="13"/>
    <w:p>
      <w:pPr>
        <w:ind w:left="500" w:right="6960" w:hanging="492"/>
        <w:spacing w:after="0" w:line="500" w:lineRule="auto"/>
        <w:tabs>
          <w:tab w:leader="none" w:pos="50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License, Research and Collaboration Agreements Collaboration Agreements</w:t>
      </w:r>
    </w:p>
    <w:p>
      <w:pPr>
        <w:spacing w:after="0" w:line="1"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ABL Bio Corporation ("ABL Bio") Agreement</w:t>
      </w:r>
    </w:p>
    <w:p>
      <w:pPr>
        <w:spacing w:after="0" w:line="229" w:lineRule="exact"/>
        <w:rPr>
          <w:rFonts w:ascii="Times New Roman" w:cs="Times New Roman" w:eastAsia="Times New Roman" w:hAnsi="Times New Roman"/>
          <w:sz w:val="18"/>
          <w:szCs w:val="18"/>
          <w:b w:val="1"/>
          <w:bCs w:val="1"/>
          <w:color w:val="auto"/>
        </w:rPr>
      </w:pPr>
    </w:p>
    <w:p>
      <w:pPr>
        <w:jc w:val="both"/>
        <w:ind w:left="50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November 2018, the Company and ABL Bio, a South Korean biotechnology company, entered into an exclusive global (excluding South Korea) license agreement which granted the Company a license to tovecimig (ABL001), ABL Bio’s bispecific antibody targeting DLL4 and VEGF-A. Under the terms of the agreement, the two companies would jointly develop tovecimig, with ABL Bio responsible for development of tovecimig throughout the end of Phase 1 clinical trials and the Company responsible for the development of tovecimig from Phase 2 and onward. ABL Bio received a $5 million upfront payment and $6 million development milestone payment. In addition, ABL Bio is eligible to receive up to $96 million of development and regulatory milestone payments, and up to $303 million of commercial milestone payments and tiered single-digit royalties on net sales of tovecimig in oncology. ABL Bio is also eligible to receive up to $75 million in development and regulatory milestones and up to $110 million in commercial milestone payments and tiered, single-digit royalties on net sales of tovecimig in ophthalmology.</w:t>
      </w:r>
    </w:p>
    <w:p>
      <w:pPr>
        <w:spacing w:after="0" w:line="191" w:lineRule="exact"/>
        <w:rPr>
          <w:rFonts w:ascii="Times New Roman" w:cs="Times New Roman" w:eastAsia="Times New Roman" w:hAnsi="Times New Roman"/>
          <w:sz w:val="18"/>
          <w:szCs w:val="18"/>
          <w:b w:val="1"/>
          <w:bCs w:val="1"/>
          <w:color w:val="auto"/>
        </w:rPr>
      </w:pPr>
    </w:p>
    <w:p>
      <w:pPr>
        <w:jc w:val="both"/>
        <w:ind w:left="5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May 2021, the Company and ABL Bio terminated license agreements to several preclinical assets. As a result of the return of these assets to ABL Bio and termination of the license agreements, the Company is eligible to receive royalty payments if ABL Bio develops or licenses two bispecific antibodies that were previously licensed to the Company.</w:t>
      </w:r>
    </w:p>
    <w:p>
      <w:pPr>
        <w:spacing w:after="0" w:line="171"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Adimab Agreement</w:t>
      </w:r>
    </w:p>
    <w:p>
      <w:pPr>
        <w:spacing w:after="0" w:line="229" w:lineRule="exact"/>
        <w:rPr>
          <w:rFonts w:ascii="Times New Roman" w:cs="Times New Roman" w:eastAsia="Times New Roman" w:hAnsi="Times New Roman"/>
          <w:sz w:val="18"/>
          <w:szCs w:val="18"/>
          <w:b w:val="1"/>
          <w:bCs w:val="1"/>
          <w:color w:val="auto"/>
        </w:rPr>
      </w:pPr>
    </w:p>
    <w:p>
      <w:pPr>
        <w:jc w:val="both"/>
        <w:ind w:left="5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entered into a collaboration agreement with Adimab, LLC on October 16, 2014. The agreement includes provisions for payment of royalties at rates ranging in the single digits as a percentage of future net sales within a specified term from the first commercial sale for certain antibodies, including our product candidate, CTX-471. There were no milestone payments made during the first quarter of 2026. As of March 31, 2026, future potential milestone payments in connection with this agreement amounted to $2.0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4" w:name="page15"/>
    <w:bookmarkEnd w:id="14"/>
    <w:p>
      <w:pPr>
        <w:ind w:left="492" w:hanging="492"/>
        <w:spacing w:after="0"/>
        <w:tabs>
          <w:tab w:leader="none" w:pos="492"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229" w:lineRule="exact"/>
        <w:rPr>
          <w:rFonts w:ascii="Times New Roman" w:cs="Times New Roman" w:eastAsia="Times New Roman" w:hAnsi="Times New Roman"/>
          <w:sz w:val="18"/>
          <w:szCs w:val="18"/>
          <w:b w:val="1"/>
          <w:bCs w:val="1"/>
          <w:color w:val="auto"/>
        </w:rPr>
      </w:pPr>
    </w:p>
    <w:p>
      <w:pPr>
        <w:jc w:val="both"/>
        <w:ind w:left="492"/>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Segment reporting is prepared on the same basis that our chief executive officer, who is our Chief Operating Decision Maker, manages the business, makes operating decisions and assesses performance. The Company operates in one segment. The Company’s business is research and development of drug candidates. Costs, including supplies, outsourced development, and other research and development costs are tracked by major program. While internal personnel costs are tracked by program for overall program spending, it is not broken out for management review. Facility and equipment costs are not allocated to programs. Research and development expenses are summarized by program in the table below (in thousands):</w:t>
      </w:r>
    </w:p>
    <w:p>
      <w:pPr>
        <w:spacing w:after="0" w:line="179" w:lineRule="exact"/>
        <w:rPr>
          <w:sz w:val="20"/>
          <w:szCs w:val="20"/>
          <w:color w:val="auto"/>
        </w:rPr>
      </w:pPr>
    </w:p>
    <w:tbl>
      <w:tblPr>
        <w:tblLayout w:type="fixed"/>
        <w:tblInd w:w="492"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3320" w:type="dxa"/>
            <w:vAlign w:val="bottom"/>
            <w:tcBorders>
              <w:bottom w:val="single" w:sz="8" w:color="auto"/>
            </w:tcBorders>
            <w:gridSpan w:val="5"/>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Three-Months Ended March 31,</w:t>
            </w:r>
          </w:p>
        </w:tc>
      </w:tr>
      <w:tr>
        <w:trPr>
          <w:trHeight w:val="210"/>
        </w:trPr>
        <w:tc>
          <w:tcPr>
            <w:tcW w:w="678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6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w:t>
            </w:r>
          </w:p>
        </w:tc>
        <w:tc>
          <w:tcPr>
            <w:tcW w:w="94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4,592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3,199</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General</w:t>
            </w:r>
          </w:p>
        </w:tc>
        <w:tc>
          <w:tcPr>
            <w:tcW w:w="94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1,213</w:t>
            </w: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Tovecimig</w:t>
            </w: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4,976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6,677</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CTX-471</w:t>
            </w:r>
          </w:p>
        </w:tc>
        <w:tc>
          <w:tcPr>
            <w:tcW w:w="94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699</w:t>
            </w: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CTX-8371</w:t>
            </w: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529</w:t>
            </w:r>
          </w:p>
        </w:tc>
      </w:tr>
      <w:tr>
        <w:trPr>
          <w:trHeight w:val="229"/>
        </w:trPr>
        <w:tc>
          <w:tcPr>
            <w:tcW w:w="6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CTX-10726</w:t>
            </w:r>
          </w:p>
        </w:tc>
        <w:tc>
          <w:tcPr>
            <w:tcW w:w="9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737</w:t>
            </w:r>
          </w:p>
        </w:tc>
      </w:tr>
      <w:tr>
        <w:trPr>
          <w:trHeight w:val="210"/>
        </w:trPr>
        <w:tc>
          <w:tcPr>
            <w:tcW w:w="6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13,390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13,054</w:t>
            </w:r>
          </w:p>
        </w:tc>
      </w:tr>
      <w:tr>
        <w:trPr>
          <w:trHeight w:val="209"/>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Personnel</w:t>
            </w:r>
          </w:p>
        </w:tc>
        <w:tc>
          <w:tcPr>
            <w:tcW w:w="94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4,914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3,301</w:t>
            </w:r>
          </w:p>
        </w:tc>
      </w:tr>
      <w:tr>
        <w:trPr>
          <w:trHeight w:val="230"/>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w:t>
            </w:r>
          </w:p>
        </w:tc>
        <w:tc>
          <w:tcPr>
            <w:tcW w:w="9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1,995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1,611</w:t>
            </w:r>
          </w:p>
        </w:tc>
      </w:tr>
      <w:tr>
        <w:trPr>
          <w:trHeight w:val="209"/>
        </w:trPr>
        <w:tc>
          <w:tcPr>
            <w:tcW w:w="67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6,909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4,912</w:t>
            </w:r>
          </w:p>
        </w:tc>
      </w:tr>
      <w:tr>
        <w:trPr>
          <w:trHeight w:val="209"/>
        </w:trPr>
        <w:tc>
          <w:tcPr>
            <w:tcW w:w="6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Interest income</w:t>
            </w:r>
          </w:p>
        </w:tc>
        <w:tc>
          <w:tcPr>
            <w:tcW w:w="9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1,982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1,333</w:t>
            </w:r>
          </w:p>
        </w:tc>
      </w:tr>
      <w:tr>
        <w:trPr>
          <w:trHeight w:val="210"/>
        </w:trPr>
        <w:tc>
          <w:tcPr>
            <w:tcW w:w="67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(18,317)</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(16,633)</w:t>
            </w:r>
          </w:p>
        </w:tc>
      </w:tr>
      <w:tr>
        <w:trPr>
          <w:trHeight w:val="20"/>
        </w:trPr>
        <w:tc>
          <w:tcPr>
            <w:tcW w:w="67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81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7" w:lineRule="exact"/>
        <w:rPr>
          <w:sz w:val="20"/>
          <w:szCs w:val="20"/>
          <w:color w:val="auto"/>
        </w:rPr>
      </w:pPr>
    </w:p>
    <w:p>
      <w:pPr>
        <w:ind w:firstLine="486"/>
        <w:spacing w:after="0" w:line="256"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The following discussion of the financial condition and results of operations of Compass Therapeutics, Inc. should be read in conjunction with the financial statements and the notes to those statements included in this Quarterly Report on Form 10-Q for the three months ended March 31, 2026. Some of the information contained in this discussion and analysis, including information with respect to our plans and strategy for our business, includes forward-looking statements that involve risk, uncertainties and assumptions. You should read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section of this Quarterly Report on Form 10-Q and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section included in our </w:t>
      </w:r>
      <w:hyperlink r:id="rId23">
        <w:r>
          <w:rPr>
            <w:rFonts w:ascii="Times New Roman" w:cs="Times New Roman" w:eastAsia="Times New Roman" w:hAnsi="Times New Roman"/>
            <w:sz w:val="18"/>
            <w:szCs w:val="18"/>
            <w:i w:val="1"/>
            <w:iCs w:val="1"/>
            <w:u w:val="single" w:color="auto"/>
            <w:color w:val="0000EE"/>
          </w:rPr>
          <w:t>Annual Report on Form 10-K for the fiscal year ended December 31, 2025</w:t>
        </w:r>
      </w:hyperlink>
      <w:r>
        <w:rPr>
          <w:rFonts w:ascii="Times New Roman" w:cs="Times New Roman" w:eastAsia="Times New Roman" w:hAnsi="Times New Roman"/>
          <w:sz w:val="18"/>
          <w:szCs w:val="18"/>
          <w:i w:val="1"/>
          <w:iCs w:val="1"/>
          <w:color w:val="auto"/>
        </w:rPr>
        <w:t>, for a discussion of important factors that could cause actual results to differ materially from the results described in or implied by the forward-looking statements contained in the following discussion and analysis.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We are a clinical-stage, oncology-focused biopharmaceutical company developing proprietary antibody-based therapeutics to treat multiple human diseases. Our scientific focus is on the relationship between angiogenesis, the immune system, and tumor growth. Our pipeline of novel product candidates is designed to target multiple components required for an effective anti-tumor response. These include modulation of the microvasculature via angiogenesis-targeted agents, induction of a potent immune response via activators on effector cells in the tumor microenvironment, and alleviation of immunosuppressive mechanisms used by tumors to evade immune surveillance. We plan to advance our product candidates through clinical development as both standalone therapies and in combination with proprietary pipeline antibodies based on supportive clinical and nonclinical data.</w:t>
      </w:r>
    </w:p>
    <w:p>
      <w:pPr>
        <w:spacing w:after="0" w:line="187" w:lineRule="exact"/>
        <w:rPr>
          <w:sz w:val="20"/>
          <w:szCs w:val="20"/>
          <w:color w:val="auto"/>
        </w:rPr>
      </w:pPr>
    </w:p>
    <w:p>
      <w:pPr>
        <w:ind w:firstLine="486"/>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pipeline comprises four clinical product candidates. Our lead product candidate, tovecimig (formerly known as CTX-009), is a bispecific antibody targeting Delta-like ligand 4 (“DLL4”), a ligand of Notch-1, and vascular endothelial growth factor A (“VEGF-A”). Simultaneous blockade of the VEGF-A and the Notch pathways is known to turn productive angiogenesis into non-productive angiogenesis, which leads to tumor shrinkage and apoptosis. CTX-471, is an agonistic antibody targeting a member of the tumor necrosis factor receptor superfamily member 9 (TNFRSF9), also known as CD-137, a co-stimulatory receptor which is mostly expressed on activated, but not on resting, T-cells and NK cells. CTX-8371, is a bispecific antibody targeting the programmed cell death protein-1 (“PD-1”), an inhibitory immune checkpoint receptor and its ligand PD-L1, two validated immune-oncology targets. CTX-10726 is a bispecific antibody targeting PD-1 and VEFG-A, also two validated immune-oncology targets. For a more detailed description, see our </w:t>
      </w:r>
      <w:hyperlink r:id="rId23">
        <w:r>
          <w:rPr>
            <w:rFonts w:ascii="Times New Roman" w:cs="Times New Roman" w:eastAsia="Times New Roman" w:hAnsi="Times New Roman"/>
            <w:sz w:val="18"/>
            <w:szCs w:val="18"/>
            <w:u w:val="single" w:color="auto"/>
            <w:color w:val="0000EE"/>
          </w:rPr>
          <w:t>Annual Report on Form 10-K for the fiscal year ended December 31, 2025</w:t>
        </w:r>
      </w:hyperlink>
      <w:r>
        <w:rPr>
          <w:rFonts w:ascii="Times New Roman" w:cs="Times New Roman" w:eastAsia="Times New Roman" w:hAnsi="Times New Roman"/>
          <w:sz w:val="18"/>
          <w:szCs w:val="18"/>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Tovecimig results in Phase 2/3 Study in the Second Line Setting for Patients with BTC</w:t>
      </w:r>
    </w:p>
    <w:p>
      <w:pPr>
        <w:spacing w:after="0" w:line="227" w:lineRule="exact"/>
        <w:rPr>
          <w:sz w:val="20"/>
          <w:szCs w:val="20"/>
          <w:color w:val="auto"/>
        </w:rPr>
      </w:pPr>
    </w:p>
    <w:p>
      <w:pPr>
        <w:ind w:right="260" w:firstLine="486"/>
        <w:spacing w:after="0" w:line="261" w:lineRule="auto"/>
        <w:rPr>
          <w:sz w:val="20"/>
          <w:szCs w:val="20"/>
          <w:color w:val="auto"/>
        </w:rPr>
      </w:pPr>
      <w:r>
        <w:rPr>
          <w:rFonts w:ascii="Times New Roman" w:cs="Times New Roman" w:eastAsia="Times New Roman" w:hAnsi="Times New Roman"/>
          <w:sz w:val="18"/>
          <w:szCs w:val="18"/>
          <w:color w:val="auto"/>
        </w:rPr>
        <w:t>In April 2025, we announced that the study met its primary endpoint of overall response rate (“ORR”). Tovecimig in combination with paclitaxel achieved a 17.1% ORR, including one complete response, compared to a 5.3% ORR for paclitaxel alone, in patients with biliary tract cancer (“BTC”) treated in the second-line setting. The difference in ORR between the two treatment arms, the primary endpoint of the study, was statistically significant (p=0.031), and all responses were assessed by blinded independent central radiology review.</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April 2026, we announced the following additional information related to the study:</w:t>
      </w:r>
    </w:p>
    <w:p>
      <w:pPr>
        <w:spacing w:after="0" w:line="221" w:lineRule="exact"/>
        <w:rPr>
          <w:sz w:val="20"/>
          <w:szCs w:val="20"/>
          <w:color w:val="auto"/>
        </w:rPr>
      </w:pPr>
    </w:p>
    <w:p>
      <w:pPr>
        <w:ind w:left="980" w:right="600" w:hanging="486"/>
        <w:spacing w:after="0" w:line="286"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Progression-Free Survival </w:t>
      </w:r>
      <w:r>
        <w:rPr>
          <w:rFonts w:ascii="Times New Roman" w:cs="Times New Roman" w:eastAsia="Times New Roman" w:hAnsi="Times New Roman"/>
          <w:sz w:val="18"/>
          <w:szCs w:val="18"/>
          <w:color w:val="auto"/>
        </w:rPr>
        <w:t>(secondary endpoint): 4.7 months for tovecimig combination compared to 2.6 months for paclitaxel alone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(HR=0.44, p&lt;0.0001)..</w:t>
      </w:r>
    </w:p>
    <w:p>
      <w:pPr>
        <w:spacing w:after="0" w:line="14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b w:val="1"/>
          <w:bCs w:val="1"/>
          <w:color w:val="auto"/>
        </w:rPr>
        <w:t xml:space="preserve">Overall Survival </w:t>
      </w:r>
      <w:r>
        <w:rPr>
          <w:rFonts w:ascii="Times New Roman" w:cs="Times New Roman" w:eastAsia="Times New Roman" w:hAnsi="Times New Roman"/>
          <w:sz w:val="21"/>
          <w:szCs w:val="21"/>
          <w:color w:val="auto"/>
        </w:rPr>
        <w:t>(secondary endpoint): Analysis was confounded by high crossover from the control arm (n=31) and</w:t>
      </w:r>
    </w:p>
    <w:p>
      <w:pPr>
        <w:spacing w:after="0" w:line="30" w:lineRule="exact"/>
        <w:rPr>
          <w:sz w:val="20"/>
          <w:szCs w:val="20"/>
          <w:color w:val="auto"/>
        </w:rPr>
      </w:pPr>
    </w:p>
    <w:p>
      <w:pPr>
        <w:ind w:left="980" w:right="60"/>
        <w:spacing w:after="0" w:line="235" w:lineRule="auto"/>
        <w:rPr>
          <w:sz w:val="20"/>
          <w:szCs w:val="20"/>
          <w:color w:val="auto"/>
        </w:rPr>
      </w:pPr>
      <w:r>
        <w:rPr>
          <w:rFonts w:ascii="Times New Roman" w:cs="Times New Roman" w:eastAsia="Times New Roman" w:hAnsi="Times New Roman"/>
          <w:sz w:val="22"/>
          <w:szCs w:val="22"/>
          <w:color w:val="auto"/>
        </w:rPr>
        <w:t>markedly prolonged survival of these crossover patients after receiving tovecimig. The OS of the patients randomized to the tovecimig combination arm (n=111), which does not include the OS of these crossover patients later treated with tovecimig, had a median of 8.9 months.</w:t>
      </w:r>
    </w:p>
    <w:p>
      <w:pPr>
        <w:spacing w:after="0" w:line="183" w:lineRule="exact"/>
        <w:rPr>
          <w:sz w:val="20"/>
          <w:szCs w:val="20"/>
          <w:color w:val="auto"/>
        </w:rPr>
      </w:pPr>
    </w:p>
    <w:p>
      <w:pPr>
        <w:ind w:left="980" w:right="220" w:hanging="486"/>
        <w:spacing w:after="0" w:line="268"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PFS Before / After Crossover </w:t>
      </w:r>
      <w:r>
        <w:rPr>
          <w:rFonts w:ascii="Times New Roman" w:cs="Times New Roman" w:eastAsia="Times New Roman" w:hAnsi="Times New Roman"/>
          <w:sz w:val="18"/>
          <w:szCs w:val="18"/>
          <w:color w:val="auto"/>
        </w:rPr>
        <w:t>(secondary endpoint): Patients treated with tovecimig after crossing from the control arm progressed after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median 3.5 months (PFS2) in the third line setting. These same 31 patients, when initially randomized to paclitaxel alone (PFS1), had progressed after a median of 1.9 months in the second line setting (HR=0.36, p=0.0016).</w:t>
      </w:r>
    </w:p>
    <w:p>
      <w:pPr>
        <w:spacing w:after="0" w:line="170" w:lineRule="exact"/>
        <w:rPr>
          <w:rFonts w:ascii="Times New Roman" w:cs="Times New Roman" w:eastAsia="Times New Roman" w:hAnsi="Times New Roman"/>
          <w:sz w:val="18"/>
          <w:szCs w:val="18"/>
          <w:color w:val="auto"/>
        </w:rPr>
      </w:pPr>
    </w:p>
    <w:p>
      <w:pPr>
        <w:ind w:left="980" w:right="20" w:hanging="486"/>
        <w:spacing w:after="0" w:line="268"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OS Crossover vs. Non-Crossover </w:t>
      </w:r>
      <w:r>
        <w:rPr>
          <w:rFonts w:ascii="Times New Roman" w:cs="Times New Roman" w:eastAsia="Times New Roman" w:hAnsi="Times New Roman"/>
          <w:sz w:val="18"/>
          <w:szCs w:val="18"/>
          <w:color w:val="auto"/>
        </w:rPr>
        <w:t>(post hoc subset analysis): In an analysis of OS in all patients initially randomized to the paclitaxel control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arm (n=57), crossover patients who subsequently received tovecimig demonstrated a statistically significant improvement in median OS of 12.8 months compared to 6.1 months for non-crossover patients who received only paclitaxel (HR=0.54, p=0.04).</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19" w:right="359" w:bottom="1440" w:gutter="0" w:footer="0" w:header="0"/>
        </w:sectPr>
      </w:pPr>
    </w:p>
    <w:bookmarkStart w:id="16" w:name="page17"/>
    <w:bookmarkEnd w:id="16"/>
    <w:p>
      <w:pPr>
        <w:ind w:left="980" w:right="220" w:hanging="486"/>
        <w:spacing w:after="0" w:line="268"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Pooled OS of All Patients Treated with Tovecimig </w:t>
      </w:r>
      <w:r>
        <w:rPr>
          <w:rFonts w:ascii="Times New Roman" w:cs="Times New Roman" w:eastAsia="Times New Roman" w:hAnsi="Times New Roman"/>
          <w:sz w:val="18"/>
          <w:szCs w:val="18"/>
          <w:color w:val="auto"/>
        </w:rPr>
        <w:t>(post hoc subset analysis): For all patients treated with tovecimig, including both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crossover patients and patients initially randomized to the tovecimig combination arm (n=142), the pooled median OS was 9.8 months. The median OS for patients randomized to the paclitaxel alone who did not crossover (n=26) was 6.1 months.</w:t>
      </w:r>
    </w:p>
    <w:p>
      <w:pPr>
        <w:spacing w:after="0" w:line="170" w:lineRule="exact"/>
        <w:rPr>
          <w:rFonts w:ascii="Times New Roman" w:cs="Times New Roman" w:eastAsia="Times New Roman" w:hAnsi="Times New Roman"/>
          <w:sz w:val="18"/>
          <w:szCs w:val="18"/>
          <w:color w:val="auto"/>
        </w:rPr>
      </w:pPr>
    </w:p>
    <w:p>
      <w:pPr>
        <w:ind w:left="500" w:right="100" w:hanging="6"/>
        <w:spacing w:after="0" w:line="518" w:lineRule="auto"/>
        <w:tabs>
          <w:tab w:leader="none" w:pos="98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Safety</w:t>
      </w:r>
      <w:r>
        <w:rPr>
          <w:rFonts w:ascii="Times New Roman" w:cs="Times New Roman" w:eastAsia="Times New Roman" w:hAnsi="Times New Roman"/>
          <w:sz w:val="18"/>
          <w:szCs w:val="18"/>
          <w:color w:val="auto"/>
        </w:rPr>
        <w:t>: Tovecimig was generally well tolerated and the safety profile was consistent with prior studies, with no new safety signals identified.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intend to meet with the U.S. Food and Drug Administration (“FDA”) to discuss these data in advance of a planned BLA submission.</w:t>
      </w:r>
    </w:p>
    <w:p>
      <w:pPr>
        <w:spacing w:after="0" w:line="2"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Tovecimig received Orphan Drug Designation from the FDA in April 2026 for the treatment of patients with BTC. Orphan Drug Designation provides certain development incentives, including tax credits for qualified clinical testing, exemption from FDA user fees, and eligibility for seven years of market exclusivity upon approval.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p>
      <w:pPr>
        <w:spacing w:after="0" w:line="229" w:lineRule="exact"/>
        <w:rPr>
          <w:sz w:val="20"/>
          <w:szCs w:val="20"/>
          <w:color w:val="auto"/>
        </w:rPr>
      </w:pPr>
    </w:p>
    <w:p>
      <w:pPr>
        <w:ind w:right="820" w:firstLine="486"/>
        <w:spacing w:after="0" w:line="282" w:lineRule="auto"/>
        <w:rPr>
          <w:sz w:val="20"/>
          <w:szCs w:val="20"/>
          <w:color w:val="auto"/>
        </w:rPr>
      </w:pPr>
      <w:r>
        <w:rPr>
          <w:rFonts w:ascii="Times New Roman" w:cs="Times New Roman" w:eastAsia="Times New Roman" w:hAnsi="Times New Roman"/>
          <w:sz w:val="18"/>
          <w:szCs w:val="18"/>
          <w:color w:val="auto"/>
        </w:rPr>
        <w:t>We have funded our operations primarily with proceeds from the sale of our equity securities. Through March 31, 2026, we have received $568 million in gross proceeds from the sale of equity securities.</w:t>
      </w:r>
    </w:p>
    <w:p>
      <w:pPr>
        <w:spacing w:after="0" w:line="162"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We have incurred significant operating losses since inception and have not generated any revenue from the sale of products and we do not expect to generate any revenue from the sale of products in the near future, if at all. Our ability to generate product revenue sufficient to achieve profitability will depend heavily on the successful development and eventual commercialization of our therapies and any future product candidates. Our net losses were $18.3 million and $16.6 million for the three months ended March 31, 2026 and 2025, respectively. We had an accumulated deficit of $449.5 million on March 31, 2026. We expect to continue to incur significant expenses for at least the next several years as we advance through clinical development, develop additional product candidates and seek regulatory approval of any product candidates that complete clinical development. In addition, if we obtain marketing approval for any product candidates, we expect to incur significant commercialization expenses related to product manufacturing, marketing, sales and distribution. We may also incur expenses in connection with the in-licensing or acquisition of additional product candidates.</w:t>
      </w:r>
    </w:p>
    <w:p>
      <w:pPr>
        <w:spacing w:after="0" w:line="192" w:lineRule="exact"/>
        <w:rPr>
          <w:sz w:val="20"/>
          <w:szCs w:val="20"/>
          <w:color w:val="auto"/>
        </w:rPr>
      </w:pPr>
    </w:p>
    <w:p>
      <w:pPr>
        <w:ind w:right="140" w:firstLine="486"/>
        <w:spacing w:after="0" w:line="255" w:lineRule="auto"/>
        <w:rPr>
          <w:sz w:val="20"/>
          <w:szCs w:val="20"/>
          <w:color w:val="auto"/>
        </w:rPr>
      </w:pPr>
      <w:r>
        <w:rPr>
          <w:rFonts w:ascii="Times New Roman" w:cs="Times New Roman" w:eastAsia="Times New Roman" w:hAnsi="Times New Roman"/>
          <w:sz w:val="18"/>
          <w:szCs w:val="18"/>
          <w:color w:val="auto"/>
        </w:rPr>
        <w:t>As a result, we will need substantial additional funding to support our continuing operations and pursue our growth strategy. Until such time as we can generate significant revenue from product sales, if ever, we expect to finance our operations through equity and debt financings, or other capital sources, which may include collaborations with other companies or other strategic transactions. As of March 31, 2026, we had $195 million in cash, cash equivalents and marketable securities. We expect that such cash resources will enable us to fund our operating expenses and capital expenditure requirements into 2028. We may be unable to raise additional funds or enter into such other agreements or arrangements when needed on favorable terms, or at all. If we fail to raise capital or enter into such agreements as and when needed, we may have to significantly delay, reduce or eliminate the development and commercialization of one or more of our product candidates or delay our pursuit of potential in-licenses or acquisitions.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7" w:name="page18"/>
    <w:bookmarkEnd w:id="17"/>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product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 Our financial statements do not include any adjustments that might result from the outcome of this uncertainty.</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At-The-Market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ATM</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Offering</w:t>
      </w:r>
    </w:p>
    <w:p>
      <w:pPr>
        <w:spacing w:after="0" w:line="229" w:lineRule="exact"/>
        <w:rPr>
          <w:sz w:val="20"/>
          <w:szCs w:val="20"/>
          <w:color w:val="auto"/>
        </w:rPr>
      </w:pPr>
    </w:p>
    <w:p>
      <w:pPr>
        <w:jc w:val="both"/>
        <w:ind w:right="200" w:firstLine="486"/>
        <w:spacing w:after="0" w:line="221" w:lineRule="auto"/>
        <w:rPr>
          <w:sz w:val="20"/>
          <w:szCs w:val="20"/>
          <w:color w:val="auto"/>
        </w:rPr>
      </w:pPr>
      <w:r>
        <w:rPr>
          <w:rFonts w:ascii="Times New Roman" w:cs="Times New Roman" w:eastAsia="Times New Roman" w:hAnsi="Times New Roman"/>
          <w:sz w:val="18"/>
          <w:szCs w:val="18"/>
          <w:color w:val="auto"/>
        </w:rPr>
        <w:t>In the first quarter of 2025, there were no issuances of common stock through our Open Market Sale Agreement</w:t>
      </w:r>
      <w:r>
        <w:rPr>
          <w:rFonts w:ascii="Times New Roman" w:cs="Times New Roman" w:eastAsia="Times New Roman" w:hAnsi="Times New Roman"/>
          <w:sz w:val="29"/>
          <w:szCs w:val="29"/>
          <w:color w:val="auto"/>
          <w:vertAlign w:val="superscript"/>
        </w:rPr>
        <w:t>SM</w:t>
      </w:r>
      <w:r>
        <w:rPr>
          <w:rFonts w:ascii="Times New Roman" w:cs="Times New Roman" w:eastAsia="Times New Roman" w:hAnsi="Times New Roman"/>
          <w:sz w:val="18"/>
          <w:szCs w:val="18"/>
          <w:color w:val="auto"/>
        </w:rPr>
        <w:t xml:space="preserve"> with Jefferies LLC (“Jefferies ATM Agreement”). In December 2025, we entered into a Sales Agreement for our ATM offering with Leerink Partners LLC and Cantor Fitzgerald &amp; Co (the “2026 ATM Agreement”) and the prior Jefferies ATM Agreement was terminated. In the first quarter of 2026, we did not sell any shares of common stock under the 2026 ATM Agreement.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Research and development expenses consist primarily of costs incurred in connection with the development of our product candidates, tovecimig,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CTX-471, CTX-8371 and CTX-10726. We expense research and development costs as incurred. These expenses include:</w:t>
      </w:r>
    </w:p>
    <w:p>
      <w:pPr>
        <w:spacing w:after="0" w:line="207" w:lineRule="exact"/>
        <w:rPr>
          <w:sz w:val="20"/>
          <w:szCs w:val="20"/>
          <w:color w:val="auto"/>
        </w:rPr>
      </w:pPr>
    </w:p>
    <w:p>
      <w:pPr>
        <w:ind w:left="980" w:right="320" w:hanging="486"/>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expenses including Contract Research Organizations (“CRO”), consultants that conduct our clinical trials, as well as investigative sites;</w:t>
      </w:r>
    </w:p>
    <w:p>
      <w:pPr>
        <w:spacing w:after="0" w:line="161" w:lineRule="exact"/>
        <w:rPr>
          <w:rFonts w:ascii="Times New Roman" w:cs="Times New Roman" w:eastAsia="Times New Roman" w:hAnsi="Times New Roman"/>
          <w:sz w:val="18"/>
          <w:szCs w:val="18"/>
          <w:color w:val="auto"/>
        </w:rPr>
      </w:pPr>
    </w:p>
    <w:p>
      <w:pPr>
        <w:ind w:left="980" w:right="260" w:hanging="486"/>
        <w:spacing w:after="0" w:line="266"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expenses including Contract Manufacturing Organizations (“CMO”), consultants that are primarily engaged to develop and manufacture drug substance and product for our clinical trials, as well as the cost of acquiring and manufacturing clinical trial materials, including manufacturing registration and validation batches;</w:t>
      </w:r>
    </w:p>
    <w:p>
      <w:pPr>
        <w:spacing w:after="0" w:line="175"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related benefits and equity-based compensation expense for employees engaged in research and development functions;</w:t>
      </w:r>
    </w:p>
    <w:p>
      <w:pPr>
        <w:spacing w:after="0" w:line="161" w:lineRule="exact"/>
        <w:rPr>
          <w:rFonts w:ascii="Times New Roman" w:cs="Times New Roman" w:eastAsia="Times New Roman" w:hAnsi="Times New Roman"/>
          <w:sz w:val="18"/>
          <w:szCs w:val="18"/>
          <w:color w:val="auto"/>
        </w:rPr>
      </w:pPr>
    </w:p>
    <w:p>
      <w:pPr>
        <w:ind w:left="980" w:right="180" w:hanging="486"/>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research and development expenses including pre-clinical study costs and expenses incurred under agreements with organizations that support our platform program development;</w:t>
      </w:r>
    </w:p>
    <w:p>
      <w:pPr>
        <w:spacing w:after="0" w:line="16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quality and regulatory requirements; and</w:t>
      </w:r>
    </w:p>
    <w:p>
      <w:pPr>
        <w:spacing w:after="0" w:line="252"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and equipment expenses.</w:t>
      </w:r>
    </w:p>
    <w:p>
      <w:pPr>
        <w:spacing w:after="0" w:line="252" w:lineRule="exact"/>
        <w:rPr>
          <w:sz w:val="20"/>
          <w:szCs w:val="20"/>
          <w:color w:val="auto"/>
        </w:rPr>
      </w:pPr>
    </w:p>
    <w:p>
      <w:pPr>
        <w:ind w:right="340" w:firstLine="486"/>
        <w:spacing w:after="0" w:line="266" w:lineRule="auto"/>
        <w:rPr>
          <w:sz w:val="20"/>
          <w:szCs w:val="20"/>
          <w:color w:val="auto"/>
        </w:rPr>
      </w:pPr>
      <w:r>
        <w:rPr>
          <w:rFonts w:ascii="Times New Roman" w:cs="Times New Roman" w:eastAsia="Times New Roman" w:hAnsi="Times New Roman"/>
          <w:sz w:val="18"/>
          <w:szCs w:val="18"/>
          <w:color w:val="auto"/>
        </w:rPr>
        <w:t>Advance payments that we make for goods or services to be received in the future for use in research and development activities are recorded as prepaid expenses. Such amounts are recognized as an expense as the goods are delivered or the related services are performed, or until it is no longer expected that the goods will be delivered or the services rendered.</w:t>
      </w:r>
    </w:p>
    <w:p>
      <w:pPr>
        <w:spacing w:after="0" w:line="176"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increase substantially in connection with our planned clinical development activities in the future. At this time, we cannot accurately estimate or know the nature, timing and costs of the efforts that will be necessary to complete the clinical development of any future product candidates.</w:t>
      </w:r>
    </w:p>
    <w:p>
      <w:pPr>
        <w:spacing w:after="0" w:line="180"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The successful development and commercialization of product candidates is highly uncertain. This is due to the numerous risks and uncertainties associated with product development and commercialization.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right="280" w:firstLine="486"/>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related costs for personnel in executive, finance, business development and administrative functions. General and administrative expenses also include legal fees relating to patent and corporate matters, professional fees for accounting, auditing, tax, insurance, administrative travel expenses and other operating costs.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8" w:name="page19"/>
    <w:bookmarkEnd w:id="18"/>
    <w:p>
      <w:pPr>
        <w:ind w:right="600" w:firstLine="486"/>
        <w:spacing w:after="0" w:line="282"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in the future as we increase our headcount to support our business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Interest income consists of interest income on marketable securities.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and 2025</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March 31, 2026 and 2025 (in thousands):</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6"/>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240" w:type="dxa"/>
            <w:vAlign w:val="bottom"/>
            <w:tcBorders>
              <w:bottom w:val="single" w:sz="8" w:color="auto"/>
            </w:tcBorders>
          </w:tcPr>
          <w:p>
            <w:pPr>
              <w:spacing w:after="0"/>
              <w:rPr>
                <w:sz w:val="20"/>
                <w:szCs w:val="20"/>
                <w:color w:val="auto"/>
              </w:rPr>
            </w:pPr>
          </w:p>
        </w:tc>
      </w:tr>
      <w:tr>
        <w:trPr>
          <w:trHeight w:val="209"/>
        </w:trPr>
        <w:tc>
          <w:tcPr>
            <w:tcW w:w="3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0"/>
        </w:trPr>
        <w:tc>
          <w:tcPr>
            <w:tcW w:w="3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40" w:type="dxa"/>
            <w:vAlign w:val="bottom"/>
            <w:gridSpan w:val="2"/>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13,390</w:t>
            </w:r>
          </w:p>
        </w:tc>
        <w:tc>
          <w:tcPr>
            <w:tcW w:w="120" w:type="dxa"/>
            <w:vAlign w:val="bottom"/>
          </w:tcPr>
          <w:p>
            <w:pPr>
              <w:spacing w:after="0"/>
              <w:rPr>
                <w:sz w:val="18"/>
                <w:szCs w:val="18"/>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13,054</w:t>
            </w:r>
          </w:p>
        </w:tc>
        <w:tc>
          <w:tcPr>
            <w:tcW w:w="100" w:type="dxa"/>
            <w:vAlign w:val="bottom"/>
          </w:tcPr>
          <w:p>
            <w:pPr>
              <w:spacing w:after="0"/>
              <w:rPr>
                <w:sz w:val="18"/>
                <w:szCs w:val="18"/>
                <w:color w:val="auto"/>
              </w:rPr>
            </w:pP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336</w:t>
            </w:r>
          </w:p>
        </w:tc>
      </w:tr>
      <w:tr>
        <w:trPr>
          <w:trHeight w:val="229"/>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8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6,909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1,997</w:t>
            </w:r>
          </w:p>
        </w:tc>
      </w:tr>
      <w:tr>
        <w:trPr>
          <w:trHeight w:val="210"/>
        </w:trPr>
        <w:tc>
          <w:tcPr>
            <w:tcW w:w="35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20,299</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17,966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2,333</w:t>
            </w:r>
          </w:p>
        </w:tc>
      </w:tr>
      <w:tr>
        <w:trPr>
          <w:trHeight w:val="209"/>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(20,299)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w:t>
            </w:r>
          </w:p>
        </w:tc>
      </w:tr>
      <w:tr>
        <w:trPr>
          <w:trHeight w:val="216"/>
        </w:trPr>
        <w:tc>
          <w:tcPr>
            <w:tcW w:w="3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4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1,982</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649</w:t>
            </w:r>
          </w:p>
        </w:tc>
      </w:tr>
      <w:tr>
        <w:trPr>
          <w:trHeight w:val="210"/>
        </w:trPr>
        <w:tc>
          <w:tcPr>
            <w:tcW w:w="35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loss</w:t>
            </w:r>
          </w:p>
        </w:tc>
        <w:tc>
          <w:tcPr>
            <w:tcW w:w="14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793"/>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(18,317)</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(16,633)</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w:t>
            </w:r>
          </w:p>
        </w:tc>
      </w:tr>
      <w:tr>
        <w:trPr>
          <w:trHeight w:val="20"/>
        </w:trPr>
        <w:tc>
          <w:tcPr>
            <w:tcW w:w="3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increased by $0.3 million, or 3%, for the three months ended March 31, 2026 compared to the three months ended March 31, 2025.</w:t>
      </w:r>
    </w:p>
    <w:p>
      <w:pPr>
        <w:spacing w:after="0" w:line="162"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We track outsourced development, personnel costs and other research and development costs of specific programs. Research and development expenses are summarized by program in the table below (in thousands):</w:t>
      </w:r>
    </w:p>
    <w:p>
      <w:pPr>
        <w:spacing w:after="0" w:line="158"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3320" w:type="dxa"/>
            <w:vAlign w:val="bottom"/>
            <w:tcBorders>
              <w:bottom w:val="single" w:sz="8" w:color="auto"/>
            </w:tcBorders>
            <w:gridSpan w:val="5"/>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0"/>
        </w:trPr>
        <w:tc>
          <w:tcPr>
            <w:tcW w:w="678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6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Tovecimig</w:t>
            </w:r>
          </w:p>
        </w:tc>
        <w:tc>
          <w:tcPr>
            <w:tcW w:w="980" w:type="dxa"/>
            <w:vAlign w:val="bottom"/>
            <w:shd w:val="clear" w:color="auto" w:fill="CCEEFF"/>
          </w:tcPr>
          <w:p>
            <w:pPr>
              <w:jc w:val="right"/>
              <w:ind w:right="813"/>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5,529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6,934</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CTX-471</w:t>
            </w:r>
          </w:p>
        </w:tc>
        <w:tc>
          <w:tcPr>
            <w:tcW w:w="98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2,636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1,905</w:t>
            </w: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CTX-8371</w:t>
            </w: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940</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CTX-10726</w:t>
            </w:r>
          </w:p>
        </w:tc>
        <w:tc>
          <w:tcPr>
            <w:tcW w:w="98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1,438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1,278</w:t>
            </w: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Unallocated research and development expenses</w:t>
            </w:r>
          </w:p>
        </w:tc>
        <w:tc>
          <w:tcPr>
            <w:tcW w:w="9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2,536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1,997</w:t>
            </w:r>
          </w:p>
        </w:tc>
      </w:tr>
      <w:tr>
        <w:trPr>
          <w:trHeight w:val="209"/>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980" w:type="dxa"/>
            <w:vAlign w:val="bottom"/>
            <w:tcBorders>
              <w:bottom w:val="single" w:sz="8" w:color="auto"/>
            </w:tcBorders>
          </w:tcPr>
          <w:p>
            <w:pPr>
              <w:jc w:val="right"/>
              <w:ind w:right="813"/>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13,390</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13,054</w:t>
            </w:r>
          </w:p>
        </w:tc>
      </w:tr>
      <w:tr>
        <w:trPr>
          <w:trHeight w:val="20"/>
        </w:trPr>
        <w:tc>
          <w:tcPr>
            <w:tcW w:w="67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increased by $2.0 million or 41% for the three months ended March 31, 2026 as compared to the same period in 2025. The increase was due to a $2.0 million increase in stock-based compensation expense.</w:t>
      </w:r>
    </w:p>
    <w:p>
      <w:pPr>
        <w:spacing w:after="0" w:line="16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580" w:right="5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Since our inception, we have devoted substantially all of our efforts to organizing and staffing our Company, business planning, raising capital, research and development activities, building our intellectual property portfolio and providing general and administrative support for these operations. We have funded our operations primarily with proceeds from the sale of our equity securities. Through March 31, 2026, we have received $568 million in gross proceeds from the sale of equity securities. As of March 31, 2026, we had cash, cash equivalents and marketable securities of $195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the periods indicated (in thousands):</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3320" w:type="dxa"/>
            <w:vAlign w:val="bottom"/>
            <w:tcBorders>
              <w:bottom w:val="single" w:sz="8" w:color="auto"/>
            </w:tcBorders>
            <w:gridSpan w:val="5"/>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9"/>
        </w:trPr>
        <w:tc>
          <w:tcPr>
            <w:tcW w:w="678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94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(13,208)</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Cash provided by investing activities</w:t>
            </w:r>
          </w:p>
        </w:tc>
        <w:tc>
          <w:tcPr>
            <w:tcW w:w="94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38,429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11,588</w:t>
            </w: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provided by (used in) financing activities</w:t>
            </w:r>
          </w:p>
        </w:tc>
        <w:tc>
          <w:tcPr>
            <w:tcW w:w="9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3,365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r>
      <w:tr>
        <w:trPr>
          <w:trHeight w:val="209"/>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94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24,525</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(2,435)</w:t>
            </w:r>
          </w:p>
        </w:tc>
      </w:tr>
      <w:tr>
        <w:trPr>
          <w:trHeight w:val="20"/>
        </w:trPr>
        <w:tc>
          <w:tcPr>
            <w:tcW w:w="67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ind w:right="280" w:firstLine="486"/>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we used $17.3 million of cash in operating activities, resulting from our net loss of $18.3 million and the change in operating assets and liabilities of $4.2 million partially offset by non-cash charges of $5.2 million (primarily from share-based compensation expense of $5.1 million).</w:t>
      </w:r>
    </w:p>
    <w:p>
      <w:pPr>
        <w:spacing w:after="0" w:line="176" w:lineRule="exact"/>
        <w:rPr>
          <w:sz w:val="20"/>
          <w:szCs w:val="20"/>
          <w:color w:val="auto"/>
        </w:rPr>
      </w:pPr>
    </w:p>
    <w:p>
      <w:pPr>
        <w:ind w:right="280" w:firstLine="486"/>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we used $13.2 million of cash in operating activities, resulting from our net loss of $16.6 million partially offset by the change in operating assets and liabilities of $0.5 million and non-cash charges of $2.9 million (primarily from share-based compensation expense of $2.5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ind w:right="400" w:firstLine="486"/>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$38.4 million of cash was provided by investing activities related to the net sales of marketable securities. During the three months ended March 31, 2025, $11.6 million of cash was used in investing activities related to the net sale of marketable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$3.9 million of cash was provided by financing activities due to the exercise of stock options, partially offset by $0.5 million of taxes paid by the Company for settlement of RSU shares. During the three months ended March 31, 2025, $0.8 million of cash was used in financing activities due to taxes paid by the Company for settlement of RSU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229"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We expect our expenses to increase substantially in connection with our ongoing activities. The timing and amount of our operating expenditures will depend largely on:</w:t>
      </w:r>
    </w:p>
    <w:p>
      <w:pPr>
        <w:spacing w:after="0" w:line="162" w:lineRule="exact"/>
        <w:rPr>
          <w:sz w:val="20"/>
          <w:szCs w:val="20"/>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clinical trials for our product candidates or any future product candidates we may develop;</w:t>
      </w:r>
    </w:p>
    <w:p>
      <w:pPr>
        <w:spacing w:after="0" w:line="252" w:lineRule="exact"/>
        <w:rPr>
          <w:rFonts w:ascii="Times New Roman" w:cs="Times New Roman" w:eastAsia="Times New Roman" w:hAnsi="Times New Roman"/>
          <w:sz w:val="18"/>
          <w:szCs w:val="18"/>
          <w:color w:val="auto"/>
        </w:rPr>
      </w:pPr>
    </w:p>
    <w:p>
      <w:pPr>
        <w:ind w:left="980" w:right="320" w:hanging="486"/>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nonclinical studies for our product candidates or any future product candidates we may develop;</w:t>
      </w:r>
    </w:p>
    <w:p>
      <w:pPr>
        <w:spacing w:after="0" w:line="16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relationships with key collaborators;</w:t>
      </w:r>
    </w:p>
    <w:p>
      <w:pPr>
        <w:spacing w:after="0" w:line="252" w:lineRule="exact"/>
        <w:rPr>
          <w:rFonts w:ascii="Times New Roman" w:cs="Times New Roman" w:eastAsia="Times New Roman" w:hAnsi="Times New Roman"/>
          <w:sz w:val="18"/>
          <w:szCs w:val="18"/>
          <w:color w:val="auto"/>
        </w:rPr>
      </w:pPr>
    </w:p>
    <w:p>
      <w:pPr>
        <w:ind w:left="980" w:right="260" w:hanging="486"/>
        <w:spacing w:after="0" w:line="266"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seeking and obtaining regulatory approvals from the FDA and comparable foreign regulatory authorities, including the potential for such authorities to require that we perform more nonclinical studies or clinical trials than those that we currently expect or change their requirements on studies that had previously been agreed to;</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0" w:name="page21"/>
    <w:bookmarkEnd w:id="20"/>
    <w:p>
      <w:pPr>
        <w:jc w:val="both"/>
        <w:ind w:left="980" w:hanging="486"/>
        <w:spacing w:after="0" w:line="266"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establish, maintain, expand, enforce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17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252"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continuing to grow our business, including hiring key personnel and maintain or acquiring operating space;</w:t>
      </w:r>
    </w:p>
    <w:p>
      <w:pPr>
        <w:spacing w:after="0" w:line="252" w:lineRule="exact"/>
        <w:rPr>
          <w:rFonts w:ascii="Times New Roman" w:cs="Times New Roman" w:eastAsia="Times New Roman" w:hAnsi="Times New Roman"/>
          <w:sz w:val="18"/>
          <w:szCs w:val="18"/>
          <w:color w:val="auto"/>
        </w:rPr>
      </w:pPr>
    </w:p>
    <w:p>
      <w:pPr>
        <w:ind w:left="980" w:right="800" w:hanging="486"/>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any approved product candidates, including product pricing, as well as product coverage and the adequacy of reimbursement by third-party payors;</w:t>
      </w:r>
    </w:p>
    <w:p>
      <w:pPr>
        <w:spacing w:after="0" w:line="16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acquiring, licensing or investing in additional businesses, products, product candidates and technologies;</w:t>
      </w:r>
    </w:p>
    <w:p>
      <w:pPr>
        <w:spacing w:after="0" w:line="252"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selecting and validating a manufacturing site for commercial-scale manufacturing; and</w:t>
      </w:r>
    </w:p>
    <w:p>
      <w:pPr>
        <w:spacing w:after="0" w:line="252"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for any product candidates for which we may receive regulatory approval and that we determine to commercialize.</w:t>
      </w:r>
    </w:p>
    <w:p>
      <w:pPr>
        <w:spacing w:after="0" w:line="162"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We believe that our existing cash, cash equivalents and marketable securities as of filing of this Quarterly Report on Form 10-Q will enable us to fund our operating expenses and capital expenditure requirements into 2028. We have based this estimate on assumptions that may prove to be wrong, and we could exhaust our available capital resources sooner than we expect. Our current plans, which may change based on clinical or pre-clinical results, include studies for tovecimig, CTX-471, CTX-8371 and CTX-10726. We expect that we will require additional funding to complete the clinical development of these programs including the payment of developmental milestones, commercializing our product candidates, if we receive regulatory approval, and pursuing in-licenses or acquisitions of other product candidates. If we receive regulatory approval for tovecimig, CTX-471, CTX-8371, CTX-10726 or other product candidates, we expect to incur significant commercialization expenses related to product manufacturing, sales, marketing and distribution, depending on where we choose to commercialize these product candidates ourselves.</w:t>
      </w:r>
    </w:p>
    <w:p>
      <w:pPr>
        <w:spacing w:after="0" w:line="192" w:lineRule="exact"/>
        <w:rPr>
          <w:sz w:val="20"/>
          <w:szCs w:val="20"/>
          <w:color w:val="auto"/>
        </w:rPr>
      </w:pPr>
    </w:p>
    <w:p>
      <w:pPr>
        <w:ind w:right="120" w:firstLine="486"/>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cash needs through a combination of equity and debt financings, collaborations, strategic alliances, and marketing, distribution or licensing arrangements with third parties. To the extent that we raise additional capital through the sale of equity or convertible debt securities, ownership interest may be materially diluted, and the terms of such securities could include liquidation or other preferences that adversely affect your rights as a common stockholder. Debt financing and preferred equity financing, if available, may involve agreements that include restrictive covenants that limit our ability to take specified actions, such as incurring additional debt, making capital expenditures or declaring dividends. If we raise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reduce or eliminate our product development or future commercialization efforts, or grant rights to develop and market product candidates that we would otherwise prefer to develop and market ourselves.</w:t>
      </w:r>
    </w:p>
    <w:p>
      <w:pPr>
        <w:spacing w:after="0" w:line="1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generally accepted accounting principles in the United States ("GAAP"). The preparation of our consolidated financial statements and related disclosures requires us to make estimates and judgments that affect the reported amounts of assets and liabilities, the disclosure of contingent assets and liabilities at the date of the consolidated financial statements and the reported amount of revenue and expenses during the reporting period.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89" w:lineRule="exact"/>
        <w:rPr>
          <w:sz w:val="20"/>
          <w:szCs w:val="20"/>
          <w:color w:val="auto"/>
        </w:rPr>
      </w:pPr>
    </w:p>
    <w:p>
      <w:pPr>
        <w:ind w:right="960" w:firstLine="486"/>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2026, there were no material changes to our critical accounting estimates described under "Management’s Discussion and Analysis of Financial Condition and Results of Operations" in the Annual Report.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1" w:name="page22"/>
    <w:bookmarkEnd w:id="21"/>
    <w:p>
      <w:pPr>
        <w:ind w:left="500"/>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and results of operations in disclosed in Note 2, “Summary of Significant Accounting Policies” to our condensed financial statements included elsewhere in this Quarterly Report on Form 10-Q.</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Smaller Reporting Company Status</w:t>
      </w:r>
    </w:p>
    <w:p>
      <w:pPr>
        <w:spacing w:after="0" w:line="22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We are a “smaller reporting company” as defined in the Securities Exchange Act of 1934, as amended, or the Exchange Act. We may continue to be a smaller reporting company if either (i) the market value of our shares held by non-affiliates is less than $250 million as of the last business day of the most recently completed second fiscal quarter or (ii) our annual revenue was less than $100 million during the most recently completed fiscal year and the market value of our shares held by non-affiliates was less than $700 million as of the last business day of the most recently completed second fiscal quarter. As a smaller reporting company, we may choose to present only the two most recent fiscal years of audited financial statements in our Annual Report on Form 10-K and have reduced disclosure obligations regarding executive compensation, and if we are a smaller reporting company with less than $100 million in annual revenue, we would not be required to obtain an attestation report on internal control over financial reporting issued by our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required under this item.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Evaluation of Our Disclosure Controls and Procedures</w:t>
      </w:r>
    </w:p>
    <w:p>
      <w:pPr>
        <w:spacing w:after="0" w:line="229"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(Principal Executive Officer) and Chief Financial Officer (Principal Financial Officer), evaluated the effectiveness of our disclosure controls and procedures, as defined in Rules 13a-15(e) and 15d-15(e) under the Exchange Act, as of March 31, 2026.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2026, our Chief Executive Officer (Principal Executive Officer) and Chief Financial Officer (Principal Financial Officer) concluded that, as of such date, our disclosure controls and procedures were effective.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right="340" w:firstLine="486"/>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Rules 13a-15(f) and 15d-15(f) under the Exchange Act, that occurred during the quarter ended March 31, 2026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792" w:right="499" w:bottom="1440" w:gutter="0" w:footer="0" w:header="0"/>
        </w:sectPr>
      </w:pPr>
    </w:p>
    <w:bookmarkStart w:id="23" w:name="page24"/>
    <w:bookmarkEnd w:id="2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right="100" w:firstLine="486"/>
        <w:spacing w:after="0" w:line="266" w:lineRule="auto"/>
        <w:rPr>
          <w:sz w:val="20"/>
          <w:szCs w:val="20"/>
          <w:color w:val="auto"/>
        </w:rPr>
      </w:pPr>
      <w:r>
        <w:rPr>
          <w:rFonts w:ascii="Times New Roman" w:cs="Times New Roman" w:eastAsia="Times New Roman" w:hAnsi="Times New Roman"/>
          <w:sz w:val="18"/>
          <w:szCs w:val="18"/>
          <w:color w:val="auto"/>
        </w:rPr>
        <w:t>As of the date of this Quarterly Report on Form 10-Q, we are not involved in any material legal proceedings. However, from time to time, we could be subject to various legal proceedings and claims that arise in the ordinary course of our business activities. Regardless of the outcome, legal proceedings can have an adverse impact on us because of defense and settlement costs, diversion of management resources and other factors.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486"/>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the other information set forth in this report, you should carefully consider the risk factors discussed in Part I, Item 1A “Risk Factors” in our </w:t>
      </w:r>
      <w:hyperlink r:id="rId23">
        <w:r>
          <w:rPr>
            <w:rFonts w:ascii="Times New Roman" w:cs="Times New Roman" w:eastAsia="Times New Roman" w:hAnsi="Times New Roman"/>
            <w:sz w:val="18"/>
            <w:szCs w:val="18"/>
            <w:u w:val="single" w:color="auto"/>
            <w:color w:val="0000EE"/>
          </w:rPr>
          <w:t>Annual Report on Form 10-K for the fiscal year ended December 31, 2025</w:t>
        </w:r>
      </w:hyperlink>
      <w:r>
        <w:rPr>
          <w:rFonts w:ascii="Times New Roman" w:cs="Times New Roman" w:eastAsia="Times New Roman" w:hAnsi="Times New Roman"/>
          <w:sz w:val="18"/>
          <w:szCs w:val="18"/>
          <w:color w:val="auto"/>
        </w:rPr>
        <w:t>, which could materially affect our business, financial condition, or results of operations. There has been no material change in the risk factors described in the Company’s Annual Report on Form 10-K for the year ended December 31, 2025.</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right="20" w:firstLine="450"/>
        <w:spacing w:after="0" w:line="266" w:lineRule="auto"/>
        <w:rPr>
          <w:sz w:val="20"/>
          <w:szCs w:val="20"/>
          <w:color w:val="auto"/>
        </w:rPr>
      </w:pPr>
      <w:r>
        <w:rPr>
          <w:rFonts w:ascii="Times New Roman" w:cs="Times New Roman" w:eastAsia="Times New Roman" w:hAnsi="Times New Roman"/>
          <w:sz w:val="18"/>
          <w:szCs w:val="18"/>
          <w:color w:val="auto"/>
        </w:rPr>
        <w:t>During the three-month period ended March 31, 2026, none of our directors or officers (as defined in Rule 16a-1(f) of the Securities Exchange Act of 1934, as amended) adopted, terminated or modified a Rule 10b5-1 trading arrangement or any “non-Rule 10b5-1 trading agreement” (as defined in Item 408(c) of Regulation S-K).</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00" w:type="dxa"/>
            <w:vAlign w:val="bottom"/>
            <w:tcBorders>
              <w:bottom w:val="single" w:sz="8" w:color="auto"/>
            </w:tcBorders>
            <w:gridSpan w:val="14"/>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0000" w:type="dxa"/>
            <w:vAlign w:val="bottom"/>
            <w:gridSpan w:val="14"/>
          </w:tcPr>
          <w:p>
            <w:pPr>
              <w:ind w:left="20"/>
              <w:spacing w:after="0"/>
              <w:rPr>
                <w:rFonts w:ascii="Times New Roman" w:cs="Times New Roman" w:eastAsia="Times New Roman" w:hAnsi="Times New Roman"/>
                <w:sz w:val="18"/>
                <w:szCs w:val="18"/>
                <w:color w:val="0000EE"/>
                <w:w w:val="99"/>
              </w:rPr>
            </w:pPr>
            <w:hyperlink r:id="rId42">
              <w:r>
                <w:rPr>
                  <w:rFonts w:ascii="Times New Roman" w:cs="Times New Roman" w:eastAsia="Times New Roman" w:hAnsi="Times New Roman"/>
                  <w:sz w:val="18"/>
                  <w:szCs w:val="18"/>
                  <w:color w:val="0000EE"/>
                  <w:w w:val="99"/>
                </w:rPr>
                <w:t>Amended and Restated Certificate of Incorporation (incorporated by reference to Exhibit 3.2 to the Current Report on Form 8-K filed with</w:t>
              </w:r>
            </w:hyperlink>
          </w:p>
        </w:tc>
      </w:tr>
      <w:tr>
        <w:trPr>
          <w:trHeight w:val="196"/>
        </w:trPr>
        <w:tc>
          <w:tcPr>
            <w:tcW w:w="1240" w:type="dxa"/>
            <w:vAlign w:val="bottom"/>
          </w:tcPr>
          <w:p>
            <w:pPr>
              <w:spacing w:after="0"/>
              <w:rPr>
                <w:sz w:val="17"/>
                <w:szCs w:val="17"/>
                <w:color w:val="auto"/>
              </w:rPr>
            </w:pPr>
          </w:p>
        </w:tc>
        <w:tc>
          <w:tcPr>
            <w:tcW w:w="9980" w:type="dxa"/>
            <w:vAlign w:val="bottom"/>
            <w:tcBorders>
              <w:top w:val="single" w:sz="8" w:color="0000EE"/>
            </w:tcBorders>
            <w:gridSpan w:val="13"/>
          </w:tcPr>
          <w:p>
            <w:pPr>
              <w:ind w:left="20"/>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the SEC on June 23, 2020).</w:t>
              </w:r>
            </w:hyperlink>
          </w:p>
        </w:tc>
        <w:tc>
          <w:tcPr>
            <w:tcW w:w="2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41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0000" w:type="dxa"/>
            <w:vAlign w:val="bottom"/>
            <w:gridSpan w:val="14"/>
          </w:tcPr>
          <w:p>
            <w:pPr>
              <w:ind w:left="20"/>
              <w:spacing w:after="0"/>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Amended and Restated Bylaws (incorporated by reference to Exhibit 3.3 to the Current Report on Form 8-K filed with the SEC on June</w:t>
              </w:r>
            </w:hyperlink>
          </w:p>
        </w:tc>
      </w:tr>
      <w:tr>
        <w:trPr>
          <w:trHeight w:val="196"/>
        </w:trPr>
        <w:tc>
          <w:tcPr>
            <w:tcW w:w="1240" w:type="dxa"/>
            <w:vAlign w:val="bottom"/>
          </w:tcPr>
          <w:p>
            <w:pPr>
              <w:spacing w:after="0"/>
              <w:rPr>
                <w:sz w:val="17"/>
                <w:szCs w:val="17"/>
                <w:color w:val="auto"/>
              </w:rPr>
            </w:pPr>
          </w:p>
        </w:tc>
        <w:tc>
          <w:tcPr>
            <w:tcW w:w="740" w:type="dxa"/>
            <w:vAlign w:val="bottom"/>
            <w:tcBorders>
              <w:top w:val="single" w:sz="8" w:color="0000EE"/>
              <w:bottom w:val="single" w:sz="8" w:color="0000EE"/>
            </w:tcBorders>
          </w:tcPr>
          <w:p>
            <w:pPr>
              <w:ind w:left="20"/>
              <w:spacing w:after="0" w:line="196" w:lineRule="exact"/>
              <w:rPr>
                <w:rFonts w:ascii="Times New Roman" w:cs="Times New Roman" w:eastAsia="Times New Roman" w:hAnsi="Times New Roman"/>
                <w:sz w:val="18"/>
                <w:szCs w:val="18"/>
                <w:color w:val="0000EE"/>
                <w:w w:val="95"/>
              </w:rPr>
            </w:pPr>
            <w:hyperlink r:id="rId43">
              <w:r>
                <w:rPr>
                  <w:rFonts w:ascii="Times New Roman" w:cs="Times New Roman" w:eastAsia="Times New Roman" w:hAnsi="Times New Roman"/>
                  <w:sz w:val="18"/>
                  <w:szCs w:val="18"/>
                  <w:color w:val="0000EE"/>
                  <w:w w:val="95"/>
                </w:rPr>
                <w:t>23, 2020).</w:t>
              </w:r>
            </w:hyperlink>
          </w:p>
        </w:tc>
        <w:tc>
          <w:tcPr>
            <w:tcW w:w="66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3020" w:type="dxa"/>
            <w:vAlign w:val="bottom"/>
            <w:tcBorders>
              <w:top w:val="single" w:sz="8" w:color="0000EE"/>
            </w:tcBorders>
          </w:tcPr>
          <w:p>
            <w:pPr>
              <w:spacing w:after="0"/>
              <w:rPr>
                <w:sz w:val="17"/>
                <w:szCs w:val="17"/>
                <w:color w:val="auto"/>
              </w:rPr>
            </w:pPr>
          </w:p>
        </w:tc>
        <w:tc>
          <w:tcPr>
            <w:tcW w:w="13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0000" w:type="dxa"/>
            <w:vAlign w:val="bottom"/>
            <w:gridSpan w:val="14"/>
          </w:tcPr>
          <w:p>
            <w:pPr>
              <w:ind w:left="20"/>
              <w:spacing w:after="0"/>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Form of Pre-Funded Warrant (incorporated by reference to Exhibit 4.1 to the Current Report on Form 8-K filed with the SEC on August</w:t>
              </w:r>
            </w:hyperlink>
          </w:p>
        </w:tc>
      </w:tr>
      <w:tr>
        <w:trPr>
          <w:trHeight w:val="196"/>
        </w:trPr>
        <w:tc>
          <w:tcPr>
            <w:tcW w:w="1240" w:type="dxa"/>
            <w:vAlign w:val="bottom"/>
          </w:tcPr>
          <w:p>
            <w:pPr>
              <w:spacing w:after="0"/>
              <w:rPr>
                <w:sz w:val="17"/>
                <w:szCs w:val="17"/>
                <w:color w:val="auto"/>
              </w:rPr>
            </w:pPr>
          </w:p>
        </w:tc>
        <w:tc>
          <w:tcPr>
            <w:tcW w:w="740" w:type="dxa"/>
            <w:vAlign w:val="bottom"/>
            <w:tcBorders>
              <w:top w:val="single" w:sz="8" w:color="0000EE"/>
              <w:bottom w:val="single" w:sz="8" w:color="0000EE"/>
            </w:tcBorders>
          </w:tcPr>
          <w:p>
            <w:pPr>
              <w:ind w:left="20"/>
              <w:spacing w:after="0" w:line="196" w:lineRule="exact"/>
              <w:rPr>
                <w:rFonts w:ascii="Times New Roman" w:cs="Times New Roman" w:eastAsia="Times New Roman" w:hAnsi="Times New Roman"/>
                <w:sz w:val="18"/>
                <w:szCs w:val="18"/>
                <w:color w:val="0000EE"/>
                <w:w w:val="95"/>
              </w:rPr>
            </w:pPr>
            <w:hyperlink r:id="rId44">
              <w:r>
                <w:rPr>
                  <w:rFonts w:ascii="Times New Roman" w:cs="Times New Roman" w:eastAsia="Times New Roman" w:hAnsi="Times New Roman"/>
                  <w:sz w:val="18"/>
                  <w:szCs w:val="18"/>
                  <w:color w:val="0000EE"/>
                  <w:w w:val="95"/>
                </w:rPr>
                <w:t>13, 2025).</w:t>
              </w:r>
            </w:hyperlink>
          </w:p>
        </w:tc>
        <w:tc>
          <w:tcPr>
            <w:tcW w:w="66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3020" w:type="dxa"/>
            <w:vAlign w:val="bottom"/>
            <w:tcBorders>
              <w:top w:val="single" w:sz="8" w:color="0000EE"/>
            </w:tcBorders>
          </w:tcPr>
          <w:p>
            <w:pPr>
              <w:spacing w:after="0"/>
              <w:rPr>
                <w:sz w:val="17"/>
                <w:szCs w:val="17"/>
                <w:color w:val="auto"/>
              </w:rPr>
            </w:pPr>
          </w:p>
        </w:tc>
        <w:tc>
          <w:tcPr>
            <w:tcW w:w="13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580" w:type="dxa"/>
            <w:vAlign w:val="bottom"/>
            <w:tcBorders>
              <w:bottom w:val="single" w:sz="8" w:color="0000EE"/>
            </w:tcBorders>
            <w:gridSpan w:val="8"/>
          </w:tcPr>
          <w:p>
            <w:pPr>
              <w:ind w:left="20"/>
              <w:spacing w:after="0"/>
              <w:rPr>
                <w:rFonts w:ascii="Times New Roman" w:cs="Times New Roman" w:eastAsia="Times New Roman" w:hAnsi="Times New Roman"/>
                <w:sz w:val="18"/>
                <w:szCs w:val="18"/>
                <w:color w:val="0000EE"/>
                <w:w w:val="99"/>
              </w:rPr>
            </w:pPr>
            <w:hyperlink r:id="rId45">
              <w:r>
                <w:rPr>
                  <w:rFonts w:ascii="Times New Roman" w:cs="Times New Roman" w:eastAsia="Times New Roman" w:hAnsi="Times New Roman"/>
                  <w:sz w:val="18"/>
                  <w:szCs w:val="18"/>
                  <w:color w:val="0000EE"/>
                  <w:w w:val="99"/>
                </w:rPr>
                <w:t>Employment Agreement between Compass Therapeutics, Inc. and Arjun Prasad, dated January 1, 2026 (incorporated by reference to</w:t>
              </w:r>
            </w:hyperlink>
          </w:p>
        </w:tc>
        <w:tc>
          <w:tcPr>
            <w:tcW w:w="420" w:type="dxa"/>
            <w:vAlign w:val="bottom"/>
            <w:gridSpan w:val="6"/>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6420" w:type="dxa"/>
            <w:vAlign w:val="bottom"/>
            <w:tcBorders>
              <w:bottom w:val="single" w:sz="8" w:color="0000EE"/>
            </w:tcBorders>
            <w:gridSpan w:val="6"/>
          </w:tcPr>
          <w:p>
            <w:pPr>
              <w:ind w:left="20"/>
              <w:spacing w:after="0" w:line="19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Exhibit 10.17 to the Annual Report on Form 10-K filed with the SEC on March 5, 2026.</w:t>
              </w:r>
            </w:hyperlink>
          </w:p>
        </w:tc>
        <w:tc>
          <w:tcPr>
            <w:tcW w:w="3580" w:type="dxa"/>
            <w:vAlign w:val="bottom"/>
            <w:gridSpan w:val="8"/>
          </w:tcPr>
          <w:p>
            <w:pPr>
              <w:spacing w:after="0"/>
              <w:rPr>
                <w:sz w:val="17"/>
                <w:szCs w:val="17"/>
                <w:color w:val="auto"/>
              </w:rPr>
            </w:pPr>
          </w:p>
        </w:tc>
      </w:tr>
      <w:tr>
        <w:trPr>
          <w:trHeight w:val="41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0000" w:type="dxa"/>
            <w:vAlign w:val="bottom"/>
            <w:gridSpan w:val="14"/>
          </w:tcPr>
          <w:p>
            <w:pPr>
              <w:ind w:left="20"/>
              <w:spacing w:after="0"/>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Employment Agreement between Compass Therapeutics, Inc. and Cynthia Sirard, dated January 1, 2026 (incorporated by reference to</w:t>
              </w:r>
            </w:hyperlink>
          </w:p>
        </w:tc>
      </w:tr>
      <w:tr>
        <w:trPr>
          <w:trHeight w:val="196"/>
        </w:trPr>
        <w:tc>
          <w:tcPr>
            <w:tcW w:w="1240" w:type="dxa"/>
            <w:vAlign w:val="bottom"/>
          </w:tcPr>
          <w:p>
            <w:pPr>
              <w:spacing w:after="0"/>
              <w:rPr>
                <w:sz w:val="17"/>
                <w:szCs w:val="17"/>
                <w:color w:val="auto"/>
              </w:rPr>
            </w:pPr>
          </w:p>
        </w:tc>
        <w:tc>
          <w:tcPr>
            <w:tcW w:w="6380" w:type="dxa"/>
            <w:vAlign w:val="bottom"/>
            <w:tcBorders>
              <w:top w:val="single" w:sz="8" w:color="0000EE"/>
              <w:bottom w:val="single" w:sz="8" w:color="0000EE"/>
            </w:tcBorders>
            <w:gridSpan w:val="5"/>
          </w:tcPr>
          <w:p>
            <w:pPr>
              <w:ind w:left="20"/>
              <w:spacing w:after="0" w:line="196" w:lineRule="exact"/>
              <w:rPr>
                <w:rFonts w:ascii="Times New Roman" w:cs="Times New Roman" w:eastAsia="Times New Roman" w:hAnsi="Times New Roman"/>
                <w:sz w:val="18"/>
                <w:szCs w:val="18"/>
                <w:color w:val="0000EE"/>
                <w:w w:val="99"/>
              </w:rPr>
            </w:pPr>
            <w:hyperlink r:id="rId46">
              <w:r>
                <w:rPr>
                  <w:rFonts w:ascii="Times New Roman" w:cs="Times New Roman" w:eastAsia="Times New Roman" w:hAnsi="Times New Roman"/>
                  <w:sz w:val="18"/>
                  <w:szCs w:val="18"/>
                  <w:color w:val="0000EE"/>
                  <w:w w:val="99"/>
                </w:rPr>
                <w:t>Exhibit 10.18 to the Annual Report on Form 10-K filed with the SEC on March 5, 2026.</w:t>
              </w:r>
            </w:hyperlink>
          </w:p>
        </w:tc>
        <w:tc>
          <w:tcPr>
            <w:tcW w:w="3300" w:type="dxa"/>
            <w:vAlign w:val="bottom"/>
            <w:tcBorders>
              <w:top w:val="single" w:sz="8" w:color="0000EE"/>
            </w:tcBorders>
            <w:gridSpan w:val="5"/>
          </w:tcPr>
          <w:p>
            <w:pPr>
              <w:spacing w:after="0"/>
              <w:rPr>
                <w:sz w:val="17"/>
                <w:szCs w:val="17"/>
                <w:color w:val="auto"/>
              </w:rPr>
            </w:pPr>
          </w:p>
        </w:tc>
        <w:tc>
          <w:tcPr>
            <w:tcW w:w="320" w:type="dxa"/>
            <w:vAlign w:val="bottom"/>
            <w:gridSpan w:val="4"/>
          </w:tcPr>
          <w:p>
            <w:pPr>
              <w:spacing w:after="0"/>
              <w:rPr>
                <w:sz w:val="17"/>
                <w:szCs w:val="17"/>
                <w:color w:val="auto"/>
              </w:rPr>
            </w:pPr>
          </w:p>
        </w:tc>
      </w:tr>
      <w:tr>
        <w:trPr>
          <w:trHeight w:val="41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580" w:type="dxa"/>
            <w:vAlign w:val="bottom"/>
            <w:tcBorders>
              <w:bottom w:val="single" w:sz="8" w:color="0000EE"/>
            </w:tcBorders>
            <w:gridSpan w:val="8"/>
          </w:tcPr>
          <w:p>
            <w:pPr>
              <w:ind w:left="20"/>
              <w:spacing w:after="0"/>
              <w:rPr>
                <w:sz w:val="20"/>
                <w:szCs w:val="20"/>
                <w:color w:val="auto"/>
              </w:rPr>
            </w:pPr>
            <w:r>
              <w:rPr>
                <w:rFonts w:ascii="Times New Roman" w:cs="Times New Roman" w:eastAsia="Times New Roman" w:hAnsi="Times New Roman"/>
                <w:sz w:val="18"/>
                <w:szCs w:val="18"/>
                <w:color w:val="0000EE"/>
                <w:w w:val="99"/>
              </w:rPr>
              <w:t>Certification of Principal Financial Officer Pursuant to Rules 13a-14(a) and 15d-14(a) under the Securities Exchange Act of 1934, as</w:t>
            </w:r>
          </w:p>
        </w:tc>
        <w:tc>
          <w:tcPr>
            <w:tcW w:w="420" w:type="dxa"/>
            <w:vAlign w:val="bottom"/>
            <w:gridSpan w:val="6"/>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5000" w:type="dxa"/>
            <w:vAlign w:val="bottom"/>
            <w:tcBorders>
              <w:bottom w:val="single" w:sz="8" w:color="0000EE"/>
            </w:tcBorders>
            <w:gridSpan w:val="4"/>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Adopted Pursuant to Section 302 of the Sarbanes-Oxley Act of 2002.</w:t>
            </w:r>
          </w:p>
        </w:tc>
        <w:tc>
          <w:tcPr>
            <w:tcW w:w="5000" w:type="dxa"/>
            <w:vAlign w:val="bottom"/>
            <w:gridSpan w:val="10"/>
          </w:tcPr>
          <w:p>
            <w:pPr>
              <w:spacing w:after="0"/>
              <w:rPr>
                <w:sz w:val="17"/>
                <w:szCs w:val="17"/>
                <w:color w:val="auto"/>
              </w:rPr>
            </w:pPr>
          </w:p>
        </w:tc>
      </w:tr>
      <w:tr>
        <w:trPr>
          <w:trHeight w:val="41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620" w:type="dxa"/>
            <w:vAlign w:val="bottom"/>
            <w:tcBorders>
              <w:bottom w:val="single" w:sz="8" w:color="0000EE"/>
            </w:tcBorders>
            <w:gridSpan w:val="9"/>
          </w:tcPr>
          <w:p>
            <w:pPr>
              <w:ind w:left="20"/>
              <w:spacing w:after="0"/>
              <w:rPr>
                <w:sz w:val="20"/>
                <w:szCs w:val="20"/>
                <w:color w:val="auto"/>
              </w:rPr>
            </w:pPr>
            <w:r>
              <w:rPr>
                <w:rFonts w:ascii="Times New Roman" w:cs="Times New Roman" w:eastAsia="Times New Roman" w:hAnsi="Times New Roman"/>
                <w:sz w:val="18"/>
                <w:szCs w:val="18"/>
                <w:color w:val="0000EE"/>
                <w:w w:val="99"/>
              </w:rPr>
              <w:t>Certification of Principal Executive Officer Pursuant to 18 U.S.C. Section 1350, as Adopted Pursuant to Section 906 of the Sarbanes-</w:t>
            </w:r>
          </w:p>
        </w:tc>
        <w:tc>
          <w:tcPr>
            <w:tcW w:w="380" w:type="dxa"/>
            <w:vAlign w:val="bottom"/>
            <w:gridSpan w:val="5"/>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1400" w:type="dxa"/>
            <w:vAlign w:val="bottom"/>
            <w:tcBorders>
              <w:bottom w:val="single" w:sz="8" w:color="0000EE"/>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97"/>
              </w:rPr>
              <w:t>Oxley Act of 2002.</w:t>
            </w:r>
          </w:p>
        </w:tc>
        <w:tc>
          <w:tcPr>
            <w:tcW w:w="8600" w:type="dxa"/>
            <w:vAlign w:val="bottom"/>
            <w:gridSpan w:val="12"/>
          </w:tcPr>
          <w:p>
            <w:pPr>
              <w:spacing w:after="0"/>
              <w:rPr>
                <w:sz w:val="17"/>
                <w:szCs w:val="17"/>
                <w:color w:val="auto"/>
              </w:rPr>
            </w:pPr>
          </w:p>
        </w:tc>
      </w:tr>
      <w:tr>
        <w:trPr>
          <w:trHeight w:val="41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00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0000EE"/>
              </w:rPr>
              <w:t>Certification of Principal Financial Officer Pursuant to 18 U.S.C. Section 1350, as Adopted Pursuant to Section 906 of the Sarbanes-</w:t>
            </w:r>
          </w:p>
        </w:tc>
      </w:tr>
      <w:tr>
        <w:trPr>
          <w:trHeight w:val="196"/>
        </w:trPr>
        <w:tc>
          <w:tcPr>
            <w:tcW w:w="1240" w:type="dxa"/>
            <w:vAlign w:val="bottom"/>
          </w:tcPr>
          <w:p>
            <w:pPr>
              <w:spacing w:after="0"/>
              <w:rPr>
                <w:sz w:val="17"/>
                <w:szCs w:val="17"/>
                <w:color w:val="auto"/>
              </w:rPr>
            </w:pPr>
          </w:p>
        </w:tc>
        <w:tc>
          <w:tcPr>
            <w:tcW w:w="1400" w:type="dxa"/>
            <w:vAlign w:val="bottom"/>
            <w:tcBorders>
              <w:top w:val="single" w:sz="8" w:color="0000EE"/>
              <w:bottom w:val="single" w:sz="8" w:color="0000EE"/>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97"/>
              </w:rPr>
              <w:t>Oxley Act of 2002.</w:t>
            </w:r>
          </w:p>
        </w:tc>
        <w:tc>
          <w:tcPr>
            <w:tcW w:w="8160" w:type="dxa"/>
            <w:vAlign w:val="bottom"/>
            <w:tcBorders>
              <w:top w:val="single" w:sz="8" w:color="0000EE"/>
            </w:tcBorders>
            <w:gridSpan w:val="5"/>
          </w:tcPr>
          <w:p>
            <w:pPr>
              <w:spacing w:after="0"/>
              <w:rPr>
                <w:sz w:val="17"/>
                <w:szCs w:val="17"/>
                <w:color w:val="auto"/>
              </w:rPr>
            </w:pPr>
          </w:p>
        </w:tc>
        <w:tc>
          <w:tcPr>
            <w:tcW w:w="440" w:type="dxa"/>
            <w:vAlign w:val="bottom"/>
            <w:gridSpan w:val="7"/>
          </w:tcPr>
          <w:p>
            <w:pPr>
              <w:spacing w:after="0"/>
              <w:rPr>
                <w:sz w:val="17"/>
                <w:szCs w:val="17"/>
                <w:color w:val="auto"/>
              </w:rPr>
            </w:pPr>
          </w:p>
        </w:tc>
      </w:tr>
      <w:tr>
        <w:trPr>
          <w:trHeight w:val="4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0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Interactive Data File because its XBRL tags are embedded</w:t>
            </w:r>
          </w:p>
        </w:tc>
      </w:tr>
      <w:tr>
        <w:trPr>
          <w:trHeight w:val="234"/>
        </w:trPr>
        <w:tc>
          <w:tcPr>
            <w:tcW w:w="1240" w:type="dxa"/>
            <w:vAlign w:val="bottom"/>
          </w:tcPr>
          <w:p>
            <w:pPr>
              <w:spacing w:after="0"/>
              <w:rPr>
                <w:sz w:val="20"/>
                <w:szCs w:val="20"/>
                <w:color w:val="auto"/>
              </w:rPr>
            </w:pPr>
          </w:p>
        </w:tc>
        <w:tc>
          <w:tcPr>
            <w:tcW w:w="1000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43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0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3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00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3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00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3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00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3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00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43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0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auto"/>
              </w:rPr>
              <w:t> 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12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299" w:lineRule="exact"/>
        <w:rPr>
          <w:sz w:val="20"/>
          <w:szCs w:val="20"/>
          <w:color w:val="auto"/>
        </w:rPr>
      </w:pPr>
    </w:p>
    <w:p>
      <w:pPr>
        <w:ind w:left="500" w:hanging="492"/>
        <w:spacing w:after="0"/>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500" w:right="20" w:hanging="492"/>
        <w:spacing w:after="0" w:line="265" w:lineRule="auto"/>
        <w:tabs>
          <w:tab w:leader="none" w:pos="5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exhibit is being furnished and shall not be deemed to be “filed” for purposes of Section 18 of the Exchange Act, or otherwise subject to the liability of that section, nor shall such exhibits be deemed to be incorporated by reference in any registration statement or other document filed under</w:t>
      </w:r>
    </w:p>
    <w:p>
      <w:pPr>
        <w:ind w:left="500"/>
        <w:spacing w:after="0"/>
        <w:rPr>
          <w:sz w:val="20"/>
          <w:szCs w:val="20"/>
          <w:color w:val="auto"/>
        </w:rPr>
      </w:pPr>
      <w:r>
        <w:rPr>
          <w:rFonts w:ascii="Times New Roman" w:cs="Times New Roman" w:eastAsia="Times New Roman" w:hAnsi="Times New Roman"/>
          <w:sz w:val="18"/>
          <w:szCs w:val="18"/>
          <w:color w:val="auto"/>
        </w:rPr>
        <w:t>the Securities Act or the Exchange Act, except as otherwise stated in such filing.</w:t>
      </w:r>
    </w:p>
    <w:p>
      <w:pPr>
        <w:spacing w:after="0" w:line="9" w:lineRule="exact"/>
        <w:rPr>
          <w:sz w:val="20"/>
          <w:szCs w:val="20"/>
          <w:color w:val="auto"/>
        </w:rPr>
      </w:pPr>
    </w:p>
    <w:p>
      <w:pPr>
        <w:ind w:left="5540" w:right="4620" w:hanging="5532"/>
        <w:spacing w:after="0" w:line="397" w:lineRule="auto"/>
        <w:tabs>
          <w:tab w:leader="none" w:pos="5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Indicates a management contract or any compensatory plan, contract or arrangement.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475"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20" w:firstLine="45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Exchange Act,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Compass Therapeutics, Inc.</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2026</w:t>
            </w:r>
          </w:p>
        </w:tc>
        <w:tc>
          <w:tcPr>
            <w:tcW w:w="27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Thomas Schuetz</w:t>
            </w:r>
          </w:p>
        </w:tc>
      </w:tr>
      <w:tr>
        <w:trPr>
          <w:trHeight w:val="187"/>
        </w:trPr>
        <w:tc>
          <w:tcPr>
            <w:tcW w:w="35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50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Thomas Schuetz</w:t>
            </w:r>
          </w:p>
        </w:tc>
      </w:tr>
      <w:tr>
        <w:trPr>
          <w:trHeight w:val="238"/>
        </w:trPr>
        <w:tc>
          <w:tcPr>
            <w:tcW w:w="35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Executive Officer</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2026</w:t>
            </w:r>
          </w:p>
        </w:tc>
        <w:tc>
          <w:tcPr>
            <w:tcW w:w="27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Barry Shin</w:t>
            </w:r>
          </w:p>
        </w:tc>
      </w:tr>
      <w:tr>
        <w:trPr>
          <w:trHeight w:val="187"/>
        </w:trPr>
        <w:tc>
          <w:tcPr>
            <w:tcW w:w="35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50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Barry Shin</w:t>
            </w:r>
          </w:p>
        </w:tc>
      </w:tr>
      <w:tr>
        <w:trPr>
          <w:trHeight w:val="238"/>
        </w:trPr>
        <w:tc>
          <w:tcPr>
            <w:tcW w:w="35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2026</w:t>
            </w:r>
          </w:p>
        </w:tc>
        <w:tc>
          <w:tcPr>
            <w:tcW w:w="27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Neil Lerner</w:t>
            </w:r>
          </w:p>
        </w:tc>
      </w:tr>
      <w:tr>
        <w:trPr>
          <w:trHeight w:val="187"/>
        </w:trPr>
        <w:tc>
          <w:tcPr>
            <w:tcW w:w="35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50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Neil Lerner</w:t>
            </w:r>
          </w:p>
        </w:tc>
      </w:tr>
      <w:tr>
        <w:trPr>
          <w:trHeight w:val="238"/>
        </w:trPr>
        <w:tc>
          <w:tcPr>
            <w:tcW w:w="35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576"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Schuetz, certify that:</w:t>
      </w:r>
    </w:p>
    <w:p>
      <w:pPr>
        <w:spacing w:after="0" w:line="225" w:lineRule="exact"/>
        <w:rPr>
          <w:sz w:val="20"/>
          <w:szCs w:val="20"/>
          <w:color w:val="auto"/>
        </w:rPr>
      </w:pPr>
    </w:p>
    <w:p>
      <w:pPr>
        <w:ind w:left="500" w:hanging="492"/>
        <w:spacing w:after="0"/>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Compass Therapeutics, Inc.;</w:t>
      </w:r>
    </w:p>
    <w:p>
      <w:pPr>
        <w:spacing w:after="0" w:line="225"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486"/>
        <w:spacing w:after="0" w:line="266" w:lineRule="auto"/>
        <w:tabs>
          <w:tab w:leader="none" w:pos="9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486"/>
        <w:spacing w:after="0" w:line="266" w:lineRule="auto"/>
        <w:tabs>
          <w:tab w:leader="none" w:pos="9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486"/>
        <w:spacing w:after="0" w:line="312" w:lineRule="auto"/>
        <w:tabs>
          <w:tab w:leader="none" w:pos="98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80" w:hanging="486"/>
        <w:spacing w:after="0" w:line="266" w:lineRule="auto"/>
        <w:tabs>
          <w:tab w:leader="none" w:pos="9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260" w:hanging="492"/>
        <w:spacing w:after="0" w:line="282" w:lineRule="auto"/>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486"/>
        <w:spacing w:after="0" w:line="282" w:lineRule="auto"/>
        <w:tabs>
          <w:tab w:leader="none" w:pos="9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80" w:hanging="486"/>
        <w:spacing w:after="0" w:line="282" w:lineRule="auto"/>
        <w:tabs>
          <w:tab w:leader="none" w:pos="9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5620" w:val="left"/>
          <w:tab w:leader="none" w:pos="8000" w:val="left"/>
        </w:tabs>
        <w:rPr>
          <w:sz w:val="20"/>
          <w:szCs w:val="20"/>
          <w:color w:val="auto"/>
        </w:rPr>
      </w:pPr>
      <w:r>
        <w:rPr>
          <w:rFonts w:ascii="Times New Roman" w:cs="Times New Roman" w:eastAsia="Times New Roman" w:hAnsi="Times New Roman"/>
          <w:sz w:val="18"/>
          <w:szCs w:val="18"/>
          <w:color w:val="auto"/>
        </w:rPr>
        <w:t>Date: May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Thomas Schuetz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1"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b w:val="1"/>
          <w:bCs w:val="1"/>
          <w:color w:val="auto"/>
        </w:rPr>
        <w:t>Thomas Schuetz</w:t>
      </w:r>
    </w:p>
    <w:p>
      <w:pPr>
        <w:spacing w:after="0" w:line="9"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ectPr>
          <w:pgSz w:w="11900" w:h="16838" w:orient="portrait"/>
          <w:cols w:equalWidth="0" w:num="1">
            <w:col w:w="11240"/>
          </w:cols>
          <w:pgMar w:left="320" w:top="117"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Barry Shin, certify that:</w:t>
      </w:r>
    </w:p>
    <w:p>
      <w:pPr>
        <w:spacing w:after="0" w:line="225" w:lineRule="exact"/>
        <w:rPr>
          <w:sz w:val="20"/>
          <w:szCs w:val="20"/>
          <w:color w:val="auto"/>
        </w:rPr>
      </w:pPr>
    </w:p>
    <w:p>
      <w:pPr>
        <w:ind w:left="500" w:hanging="492"/>
        <w:spacing w:after="0"/>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Compass Therapeutics, Inc.;</w:t>
      </w:r>
    </w:p>
    <w:p>
      <w:pPr>
        <w:spacing w:after="0" w:line="225"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486"/>
        <w:spacing w:after="0" w:line="266" w:lineRule="auto"/>
        <w:tabs>
          <w:tab w:leader="none" w:pos="9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486"/>
        <w:spacing w:after="0" w:line="266" w:lineRule="auto"/>
        <w:tabs>
          <w:tab w:leader="none" w:pos="9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486"/>
        <w:spacing w:after="0" w:line="312" w:lineRule="auto"/>
        <w:tabs>
          <w:tab w:leader="none" w:pos="98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80" w:hanging="486"/>
        <w:spacing w:after="0" w:line="266" w:lineRule="auto"/>
        <w:tabs>
          <w:tab w:leader="none" w:pos="9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260" w:hanging="492"/>
        <w:spacing w:after="0" w:line="282" w:lineRule="auto"/>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486"/>
        <w:spacing w:after="0" w:line="282" w:lineRule="auto"/>
        <w:tabs>
          <w:tab w:leader="none" w:pos="9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80" w:hanging="486"/>
        <w:spacing w:after="0" w:line="282" w:lineRule="auto"/>
        <w:tabs>
          <w:tab w:leader="none" w:pos="9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5620" w:val="left"/>
          <w:tab w:leader="none" w:pos="8200" w:val="left"/>
        </w:tabs>
        <w:rPr>
          <w:sz w:val="20"/>
          <w:szCs w:val="20"/>
          <w:color w:val="auto"/>
        </w:rPr>
      </w:pPr>
      <w:r>
        <w:rPr>
          <w:rFonts w:ascii="Times New Roman" w:cs="Times New Roman" w:eastAsia="Times New Roman" w:hAnsi="Times New Roman"/>
          <w:sz w:val="18"/>
          <w:szCs w:val="18"/>
          <w:color w:val="auto"/>
        </w:rPr>
        <w:t>Date: May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Barry Shin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1"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b w:val="1"/>
          <w:bCs w:val="1"/>
          <w:color w:val="auto"/>
        </w:rPr>
        <w:t>Barry Shin</w:t>
      </w:r>
    </w:p>
    <w:p>
      <w:pPr>
        <w:spacing w:after="0" w:line="9"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ectPr>
          <w:pgSz w:w="11900" w:h="16838" w:orient="portrait"/>
          <w:cols w:equalWidth="0" w:num="1">
            <w:col w:w="11240"/>
          </w:cols>
          <w:pgMar w:left="320" w:top="117"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Compass Therapeutics, Inc. (the “Company”) on Form 10-Q for the period ended March 31, 2026 as filed with the Securities and Exchange Commission on the date hereof (the “Report”), I certify, pursuant to 18 U.S.C. § 1350, as adopted pursuant to § 906 of the Sarbanes-Oxley Act of 2002, that to the best of my knowledge:</w:t>
      </w:r>
    </w:p>
    <w:p>
      <w:pPr>
        <w:spacing w:after="0" w:line="176" w:lineRule="exact"/>
        <w:rPr>
          <w:sz w:val="20"/>
          <w:szCs w:val="20"/>
          <w:color w:val="auto"/>
        </w:rPr>
      </w:pPr>
    </w:p>
    <w:p>
      <w:pPr>
        <w:ind w:left="980" w:hanging="486"/>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980" w:right="660" w:hanging="486"/>
        <w:spacing w:after="0" w:line="282"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62" w:lineRule="exact"/>
        <w:rPr>
          <w:sz w:val="20"/>
          <w:szCs w:val="20"/>
          <w:color w:val="auto"/>
        </w:rPr>
      </w:pPr>
    </w:p>
    <w:p>
      <w:pPr>
        <w:spacing w:after="0"/>
        <w:tabs>
          <w:tab w:leader="none" w:pos="5620" w:val="left"/>
          <w:tab w:leader="none" w:pos="8000" w:val="left"/>
        </w:tabs>
        <w:rPr>
          <w:sz w:val="20"/>
          <w:szCs w:val="20"/>
          <w:color w:val="auto"/>
        </w:rPr>
      </w:pPr>
      <w:r>
        <w:rPr>
          <w:rFonts w:ascii="Times New Roman" w:cs="Times New Roman" w:eastAsia="Times New Roman" w:hAnsi="Times New Roman"/>
          <w:sz w:val="18"/>
          <w:szCs w:val="18"/>
          <w:color w:val="auto"/>
        </w:rPr>
        <w:t>Date: May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Thomas Schuetz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b w:val="1"/>
          <w:bCs w:val="1"/>
          <w:color w:val="auto"/>
        </w:rPr>
        <w:t>Thomas Schuetz</w:t>
      </w:r>
    </w:p>
    <w:p>
      <w:pPr>
        <w:spacing w:after="0" w:line="9"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ectPr>
          <w:pgSz w:w="11900" w:h="16838" w:orient="portrait"/>
          <w:cols w:equalWidth="0" w:num="1">
            <w:col w:w="11240"/>
          </w:cols>
          <w:pgMar w:left="320" w:top="117"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Compass Therapeutics, Inc. (the “Company”) on Form 10-Q for the period ended March 31, 2026 as filed with the Securities and Exchange Commission on the date hereof (the “Report”), I certify, pursuant to 18 U.S.C. § 1350, as adopted pursuant to § 906 of the Sarbanes-Oxley Act of 2002, that to the best of my knowledge:</w:t>
      </w:r>
    </w:p>
    <w:p>
      <w:pPr>
        <w:spacing w:after="0" w:line="176" w:lineRule="exact"/>
        <w:rPr>
          <w:sz w:val="20"/>
          <w:szCs w:val="20"/>
          <w:color w:val="auto"/>
        </w:rPr>
      </w:pPr>
    </w:p>
    <w:p>
      <w:pPr>
        <w:ind w:left="980" w:hanging="486"/>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980" w:right="660" w:hanging="486"/>
        <w:spacing w:after="0" w:line="28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62" w:lineRule="exact"/>
        <w:rPr>
          <w:sz w:val="20"/>
          <w:szCs w:val="20"/>
          <w:color w:val="auto"/>
        </w:rPr>
      </w:pPr>
    </w:p>
    <w:p>
      <w:pPr>
        <w:spacing w:after="0"/>
        <w:tabs>
          <w:tab w:leader="none" w:pos="5620" w:val="left"/>
          <w:tab w:leader="none" w:pos="8200" w:val="left"/>
        </w:tabs>
        <w:rPr>
          <w:sz w:val="20"/>
          <w:szCs w:val="20"/>
          <w:color w:val="auto"/>
        </w:rPr>
      </w:pPr>
      <w:r>
        <w:rPr>
          <w:rFonts w:ascii="Times New Roman" w:cs="Times New Roman" w:eastAsia="Times New Roman" w:hAnsi="Times New Roman"/>
          <w:sz w:val="18"/>
          <w:szCs w:val="18"/>
          <w:color w:val="auto"/>
        </w:rPr>
        <w:t>Date: May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Barry Shin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b w:val="1"/>
          <w:bCs w:val="1"/>
          <w:color w:val="auto"/>
        </w:rPr>
        <w:t>Barry Shin</w:t>
      </w:r>
    </w:p>
    <w:p>
      <w:pPr>
        <w:spacing w:after="0" w:line="9"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3"/>
    </w:lvl>
  </w:abstractNum>
  <w:abstractNum w:abstractNumId="4">
    <w:nsid w:val="1BEFD79F"/>
    <w:multiLevelType w:val="hybridMultilevel"/>
    <w:lvl w:ilvl="0">
      <w:lvlJc w:val="left"/>
      <w:lvlText w:val="%1."/>
      <w:numFmt w:val="decimal"/>
      <w:start w:val="4"/>
    </w:lvl>
  </w:abstractNum>
  <w:abstractNum w:abstractNumId="5">
    <w:nsid w:val="41A7C4C9"/>
    <w:multiLevelType w:val="hybridMultilevel"/>
    <w:lvl w:ilvl="0">
      <w:lvlJc w:val="left"/>
      <w:lvlText w:val="%1."/>
      <w:numFmt w:val="decimal"/>
      <w:start w:val="5"/>
    </w:lvl>
  </w:abstractNum>
  <w:abstractNum w:abstractNumId="6">
    <w:nsid w:val="6B68079A"/>
    <w:multiLevelType w:val="hybridMultilevel"/>
    <w:lvl w:ilvl="0">
      <w:lvlJc w:val="left"/>
      <w:lvlText w:val="%1."/>
      <w:numFmt w:val="decimal"/>
      <w:start w:val="6"/>
    </w:lvl>
  </w:abstractNum>
  <w:abstractNum w:abstractNumId="7">
    <w:nsid w:val="4E6AFB66"/>
    <w:multiLevelType w:val="hybridMultilevel"/>
    <w:lvl w:ilvl="0">
      <w:lvlJc w:val="left"/>
      <w:lvlText w:val="%1."/>
      <w:numFmt w:val="decimal"/>
      <w:start w:val="7"/>
    </w:lvl>
  </w:abstractNum>
  <w:abstractNum w:abstractNumId="8">
    <w:nsid w:val="25E45D32"/>
    <w:multiLevelType w:val="hybridMultilevel"/>
    <w:lvl w:ilvl="0">
      <w:lvlJc w:val="left"/>
      <w:lvlText w:val="%1."/>
      <w:numFmt w:val="decimal"/>
      <w:start w:val="8"/>
    </w:lvl>
  </w:abstractNum>
  <w:abstractNum w:abstractNumId="9">
    <w:nsid w:val="519B500D"/>
    <w:multiLevelType w:val="hybridMultilevel"/>
    <w:lvl w:ilvl="0">
      <w:lvlJc w:val="left"/>
      <w:lvlText w:val="%1."/>
      <w:numFmt w:val="decimal"/>
      <w:start w:val="9"/>
    </w:lvl>
  </w:abstractNum>
  <w:abstractNum w:abstractNumId="10">
    <w:nsid w:val="431BD7B7"/>
    <w:multiLevelType w:val="hybridMultilevel"/>
    <w:lvl w:ilvl="0">
      <w:lvlJc w:val="left"/>
      <w:lvlText w:val="%1."/>
      <w:numFmt w:val="decimal"/>
      <w:start w:val="11"/>
    </w:lvl>
  </w:abstractNum>
  <w:abstractNum w:abstractNumId="11">
    <w:nsid w:val="3F2DBA31"/>
    <w:multiLevelType w:val="hybridMultilevel"/>
    <w:lvl w:ilvl="0">
      <w:lvlJc w:val="left"/>
      <w:lvlText w:val="%1."/>
      <w:numFmt w:val="decimal"/>
      <w:start w:val="12"/>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23" Type="http://schemas.openxmlformats.org/officeDocument/2006/relationships/hyperlink" Target="http://www.sec.gov/ix?doc=/Archives/edgar/data/1738021/000117184326001337/cmpx20251231_10k.htm" TargetMode="External"/><Relationship Id="rId42" Type="http://schemas.openxmlformats.org/officeDocument/2006/relationships/hyperlink" Target="http://www.sec.gov/Archives/edgar/data/1738021/000121390020015594/ea123278ex3-2_compass.htm" TargetMode="External"/><Relationship Id="rId43" Type="http://schemas.openxmlformats.org/officeDocument/2006/relationships/hyperlink" Target="http://www.sec.gov/Archives/edgar/data/1738021/000121390020015594/ea123278ex3-3_compass.htm" TargetMode="External"/><Relationship Id="rId44" Type="http://schemas.openxmlformats.org/officeDocument/2006/relationships/hyperlink" Target="http://www.sec.gov/Archives/edgar/data/1738021/000119312525179958/d153873dex41.htm" TargetMode="External"/><Relationship Id="rId45" Type="http://schemas.openxmlformats.org/officeDocument/2006/relationships/hyperlink" Target="http://www.sec.gov/Archives/edgar/data/1738021/000117184326001337/ex_923541.htm" TargetMode="External"/><Relationship Id="rId46" Type="http://schemas.openxmlformats.org/officeDocument/2006/relationships/hyperlink" Target="http://www.sec.gov/Archives/edgar/data/1738021/000117184326001337/ex_9235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2026-05-05T07:03:38Z</dcterms:created>
  <dcterms:modified xsi:type="dcterms:W3CDTF">2026-05-05T07:03:38Z</dcterms:modified>
</cp:coreProperties>
</file>