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June 22, 2026</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COMPASS THERAPEUTICS,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_______________________________</w:t>
      </w:r>
    </w:p>
    <w:p>
      <w:pPr>
        <w:sectPr>
          <w:pgSz w:w="11900" w:h="16838" w:orient="portrait"/>
          <w:cols w:equalWidth="0" w:num="1">
            <w:col w:w="11240"/>
          </w:cols>
          <w:pgMar w:left="320" w:top="441" w:right="339" w:bottom="1440" w:gutter="0" w:footer="0" w:header="0"/>
        </w:sectPr>
      </w:pPr>
    </w:p>
    <w:p>
      <w:pPr>
        <w:spacing w:after="0" w:line="203"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001-39696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82-4876496</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441"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 Guest Street, Suite 601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Massachusetts 02135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500-8099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185"/>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185"/>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185"/>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185"/>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6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432"/>
        </w:trPr>
        <w:tc>
          <w:tcPr>
            <w:tcW w:w="45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2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CMPX</w:t>
            </w:r>
          </w:p>
        </w:tc>
        <w:tc>
          <w:tcPr>
            <w:tcW w:w="44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On June 22, 2026, the Board of Directors (the “Board”) of Compass Therapeutics, Inc. (the “Company”) approved the adoption of the Second Amended and Restated Bylaws of the Company, effective as of June 22, 2026 (the “New Bylaws”), which </w:t>
      </w:r>
      <w:r>
        <w:rPr>
          <w:rFonts w:ascii="Times New Roman" w:cs="Times New Roman" w:eastAsia="Times New Roman" w:hAnsi="Times New Roman"/>
          <w:sz w:val="18"/>
          <w:szCs w:val="18"/>
          <w:i w:val="1"/>
          <w:iCs w:val="1"/>
          <w:color w:val="auto"/>
        </w:rPr>
        <w:t>amend and restate</w:t>
      </w:r>
      <w:r>
        <w:rPr>
          <w:rFonts w:ascii="Times New Roman" w:cs="Times New Roman" w:eastAsia="Times New Roman" w:hAnsi="Times New Roman"/>
          <w:sz w:val="18"/>
          <w:szCs w:val="18"/>
          <w:color w:val="auto"/>
        </w:rPr>
        <w:t xml:space="preserve"> the Amended and Restated Bylaws of the Company, dated as of July 17, 2020 (the “Existing Bylaws”), in their entirety. The New Bylaws amended the Existing Bylaws to establish exclusive jurisdiction in the United States District Courts for the District of Delaware and District of Massachusetts for resolving any action asserting a claim arising under Securities Act of 1933, as amended.</w:t>
      </w:r>
    </w:p>
    <w:p>
      <w:pPr>
        <w:spacing w:after="0" w:line="18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New Bylaws does not purport to be complete and is qualified in its entirety by reference to the full text of the New Bylaws, which is filed as Exhibit 3.1 to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820" w:type="dxa"/>
            <w:vAlign w:val="bottom"/>
          </w:tcPr>
          <w:p>
            <w:pPr>
              <w:spacing w:after="0"/>
              <w:rPr>
                <w:sz w:val="20"/>
                <w:szCs w:val="20"/>
                <w:color w:val="auto"/>
              </w:rPr>
            </w:pPr>
          </w:p>
        </w:tc>
        <w:tc>
          <w:tcPr>
            <w:tcW w:w="6840" w:type="dxa"/>
            <w:vAlign w:val="bottom"/>
          </w:tcPr>
          <w:p>
            <w:pPr>
              <w:spacing w:after="0"/>
              <w:rPr>
                <w:sz w:val="20"/>
                <w:szCs w:val="20"/>
                <w:color w:val="auto"/>
              </w:rPr>
            </w:pPr>
          </w:p>
        </w:tc>
      </w:tr>
      <w:tr>
        <w:trPr>
          <w:trHeight w:val="432"/>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1340" w:type="dxa"/>
            <w:vAlign w:val="bottom"/>
          </w:tcPr>
          <w:p>
            <w:pPr>
              <w:spacing w:after="0"/>
              <w:rPr>
                <w:sz w:val="24"/>
                <w:szCs w:val="24"/>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Second Amended and Restated Bylaws</w:t>
            </w:r>
          </w:p>
        </w:tc>
      </w:tr>
      <w:tr>
        <w:trPr>
          <w:trHeight w:val="20"/>
        </w:trPr>
        <w:tc>
          <w:tcPr>
            <w:tcW w:w="24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37"/>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01"/>
        </w:trPr>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8260" w:type="dxa"/>
            <w:vAlign w:val="bottom"/>
            <w:gridSpan w:val="3"/>
          </w:tcPr>
          <w:p>
            <w:pPr>
              <w:ind w:left="1540"/>
              <w:spacing w:after="0"/>
              <w:rPr>
                <w:sz w:val="20"/>
                <w:szCs w:val="20"/>
                <w:color w:val="auto"/>
              </w:rPr>
            </w:pPr>
            <w:r>
              <w:rPr>
                <w:rFonts w:ascii="Times New Roman" w:cs="Times New Roman" w:eastAsia="Times New Roman" w:hAnsi="Times New Roman"/>
                <w:sz w:val="18"/>
                <w:szCs w:val="18"/>
                <w:b w:val="1"/>
                <w:bCs w:val="1"/>
                <w:color w:val="auto"/>
              </w:rPr>
              <w:t>Compass Therapeutics, Inc.</w:t>
            </w:r>
          </w:p>
        </w:tc>
      </w:tr>
      <w:tr>
        <w:trPr>
          <w:trHeight w:val="607"/>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23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Neil Lerner</w:t>
            </w:r>
          </w:p>
        </w:tc>
      </w:tr>
      <w:tr>
        <w:trPr>
          <w:trHeight w:val="218"/>
        </w:trPr>
        <w:tc>
          <w:tcPr>
            <w:tcW w:w="29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Neil Lerner</w:t>
            </w:r>
          </w:p>
        </w:tc>
        <w:tc>
          <w:tcPr>
            <w:tcW w:w="484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1492"/>
        </w:trPr>
        <w:tc>
          <w:tcPr>
            <w:tcW w:w="29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COMPASS THERAPEUTICS,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Stockholders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stockholders (any such meeting being referred to in these Bylaws as an “Annual Meeting”) shall be held at the hour, date and place within or without the United States which is fixed by the Board of Directors,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Notice of Stockholder Business and Nominations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00" w:hanging="244"/>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7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of Directors of the Corporation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“Exchange Act”)), and such stockholder must comply with the notice and other procedures set forth in Article I, Section 2(a)(2) and (3)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56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nominations or other business to be properly brought before an Annual Meeting by a stockholder pursuant to clause (ii) of Article I, Section 2(a)(1) of this By-law, the stockholder must (i) have given Timely Notice (as defined below) thereof in writing to the Secretary of the Corporation, (ii) 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shall be received by the Secretary at the principal executive offices of the Corporation not later than the close of business on the ninetieth (90th) day nor earlier than the close of business on the one hundred twentieth (120th) day prior to the one-year anniversary of the preceding year’s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(90th) day prior to the scheduled date of such Annual Meeting or the tenth (10th) day following the day on which public announcement of the date of such meeting is first made (such notice within such time periods shall be referred to as “Timely Notice”).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later of the ninetieth (90th) day prior to the scheduled date of such Annual Meeting or the tenth (10th) day following the day on which public announcement of the date of such Annual Meeting is first made or sent by the Corporation. Such stockholder’s Timely Notice shall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left="180" w:firstLine="652"/>
        <w:spacing w:after="0" w:line="253" w:lineRule="auto"/>
        <w:tabs>
          <w:tab w:leader="none" w:pos="114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stockholder proposes to nominate for election or reelection as a director, (i) the name, age, business address and residence address of the nominee, (ii) the principal occupation or employment of the nominee, (iii) the class and number of shares of the Corporation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w:t>
      </w:r>
    </w:p>
    <w:p>
      <w:pPr>
        <w:spacing w:after="0" w:line="2" w:lineRule="exact"/>
        <w:rPr>
          <w:rFonts w:ascii="Times New Roman" w:cs="Times New Roman" w:eastAsia="Times New Roman" w:hAnsi="Times New Roman"/>
          <w:sz w:val="18"/>
          <w:szCs w:val="18"/>
          <w:color w:val="auto"/>
        </w:rPr>
      </w:pPr>
    </w:p>
    <w:p>
      <w:pPr>
        <w:jc w:val="both"/>
        <w:ind w:left="180" w:firstLine="4"/>
        <w:spacing w:after="0" w:line="250" w:lineRule="auto"/>
        <w:tabs>
          <w:tab w:leader="none" w:pos="4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(vi) a written statement executed by the nominee acknowledging that as a director of the corporation, the nominee will owe fiduciary duties under Delaware law with respect to the Corporation and its stockholders, and</w:t>
      </w:r>
    </w:p>
    <w:p>
      <w:pPr>
        <w:spacing w:after="0" w:line="1" w:lineRule="exact"/>
        <w:rPr>
          <w:rFonts w:ascii="Times New Roman" w:cs="Times New Roman" w:eastAsia="Times New Roman" w:hAnsi="Times New Roman"/>
          <w:sz w:val="18"/>
          <w:szCs w:val="18"/>
          <w:color w:val="auto"/>
        </w:rPr>
      </w:pPr>
    </w:p>
    <w:p>
      <w:pPr>
        <w:jc w:val="both"/>
        <w:ind w:left="180" w:firstLine="4"/>
        <w:spacing w:after="0" w:line="255" w:lineRule="auto"/>
        <w:tabs>
          <w:tab w:leader="none" w:pos="56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8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1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51" w:lineRule="auto"/>
        <w:tabs>
          <w:tab w:leader="none" w:pos="111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“Material Ownership Interests”) and (iii) 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365125</wp:posOffset>
            </wp:positionV>
            <wp:extent cx="7132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5" w:name="page6"/>
    <w:bookmarkEnd w:id="5"/>
    <w:p>
      <w:pPr>
        <w:jc w:val="both"/>
        <w:ind w:left="640" w:firstLine="652"/>
        <w:spacing w:after="0" w:line="255" w:lineRule="auto"/>
        <w:tabs>
          <w:tab w:leader="none" w:pos="15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188" w:lineRule="exact"/>
        <w:rPr>
          <w:rFonts w:ascii="Times New Roman" w:cs="Times New Roman" w:eastAsia="Times New Roman" w:hAnsi="Times New Roman"/>
          <w:sz w:val="18"/>
          <w:szCs w:val="18"/>
          <w:color w:val="auto"/>
        </w:rPr>
      </w:pPr>
    </w:p>
    <w:p>
      <w:pPr>
        <w:jc w:val="both"/>
        <w:ind w:left="640" w:firstLine="652"/>
        <w:spacing w:after="0" w:line="256" w:lineRule="auto"/>
        <w:tabs>
          <w:tab w:leader="none" w:pos="156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“Solicitation Statement”).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purposes of this Article I of these Bylaws, the term “Proposing Person”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2 of Article I of these Bylaws, the term “Synthetic Equity Interest”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87" w:lineRule="exact"/>
        <w:rPr>
          <w:sz w:val="20"/>
          <w:szCs w:val="20"/>
          <w:color w:val="auto"/>
        </w:rPr>
      </w:pPr>
    </w:p>
    <w:p>
      <w:pPr>
        <w:jc w:val="both"/>
        <w:ind w:firstLine="644"/>
        <w:spacing w:after="0" w:line="254" w:lineRule="auto"/>
        <w:tabs>
          <w:tab w:leader="none" w:pos="9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(5th) business day after the record date for the Annual Meeting (in the case of the update and supplement required to be made as of the record date), and not later than the close of business on the eighth (8th) business day prior to the date of the Annual Meeting (in the case of the update and supplement required to be made as of ten (10) business days prior to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356235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6" w:name="page7"/>
    <w:bookmarkEnd w:id="6"/>
    <w:p>
      <w:pPr>
        <w:jc w:val="both"/>
        <w:ind w:left="4" w:firstLine="644"/>
        <w:spacing w:after="0" w:line="255" w:lineRule="auto"/>
        <w:tabs>
          <w:tab w:leader="none" w:pos="92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second sentence of Article I, Section 2(a)(2) of this By-law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this By-law shall also be considered timely, but only with respect to nominees for any new positions created by such increase, if it shall be received by the Secretary of the Corporation not later than the close of business on the tenth (10th) day following the day on which such public announcement is first made by the Corporation.</w:t>
      </w:r>
    </w:p>
    <w:p>
      <w:pPr>
        <w:spacing w:after="0" w:line="188"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1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presiding officer of the Annual Meeting shall have the power and duty to determine whether the stockholder proposal or nomination was made in accordance with the provisions of this By-law. If the Board of Directors or a designated committee thereof or the presiding officer, as applicable, determines that any stockholder proposal or nomination was not made in accordance with the provisions of this By-law, such proposal or nomination shall be disregarded and shall not be presented for action at the Annual Meeting.</w:t>
      </w:r>
    </w:p>
    <w:p>
      <w:pPr>
        <w:spacing w:after="0" w:line="194" w:lineRule="exact"/>
        <w:rPr>
          <w:rFonts w:ascii="Times New Roman" w:cs="Times New Roman" w:eastAsia="Times New Roman" w:hAnsi="Times New Roman"/>
          <w:sz w:val="18"/>
          <w:szCs w:val="18"/>
          <w:color w:val="auto"/>
        </w:rPr>
      </w:pPr>
    </w:p>
    <w:p>
      <w:pPr>
        <w:jc w:val="both"/>
        <w:ind w:left="4" w:right="20" w:firstLine="644"/>
        <w:spacing w:after="0" w:line="266" w:lineRule="auto"/>
        <w:tabs>
          <w:tab w:leader="none" w:pos="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93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3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93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 of (i) 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351155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7" w:name="page8"/>
    <w:bookmarkEnd w:id="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of the Corporation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Notice of Meetings; Adjournments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6" w:lineRule="auto"/>
        <w:tabs>
          <w:tab w:leader="none" w:pos="89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Delaware General Corporation Law (“DGCL”).</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9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the DGCL, notice of all special meetings of stockholders shall be given in the same manner as provided for Annual Meetings, except that the notice of all special meetings shall state the purpose or purposes for which the meeting has been called.</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1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Section 2 of this Article I of these Bylaws or otherwise. In no event shall the public announcement of an adjournment, postponement or rescheduling of any previously scheduled meeting of stockholders commence a new time period for the giving of a stockholder’s notice under this Article I of these Bylaws.</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“Certificate”) or these Bylaws, is entitled to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 majority of the outstanding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Section 4 of this Article I. At such adjourned meeting at which a quorum is present, any business may be transacted which might have been transacted at the original meeting. The stockholders present at a duly constituted meeting may continue to transact business until adjournment, notwithstanding the withdrawal of enough stockholders to leave less than a quorum.</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Voting and Proxies</w:t>
      </w:r>
      <w:r>
        <w:rPr>
          <w:rFonts w:ascii="Times New Roman" w:cs="Times New Roman" w:eastAsia="Times New Roman" w:hAnsi="Times New Roman"/>
          <w:sz w:val="18"/>
          <w:szCs w:val="18"/>
          <w:color w:val="auto"/>
        </w:rPr>
        <w:t>. Stockholders shall have one vote for each share of stock entitled to vote owned by them of record according to the stock ledger of the Corporation as of the record date, unless otherwise provided by law or by the Certificate. Stockholders may vote either (i) in person,</w:t>
      </w:r>
    </w:p>
    <w:p>
      <w:pPr>
        <w:jc w:val="both"/>
        <w:ind w:firstLine="8"/>
        <w:spacing w:after="0" w:line="251" w:lineRule="auto"/>
        <w:tabs>
          <w:tab w:leader="none" w:pos="29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Stockholder Lists</w:t>
      </w:r>
      <w:r>
        <w:rPr>
          <w:rFonts w:ascii="Times New Roman" w:cs="Times New Roman" w:eastAsia="Times New Roman" w:hAnsi="Times New Roman"/>
          <w:sz w:val="18"/>
          <w:szCs w:val="18"/>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as provided in the manner, and subject to the terms, set forth in Section 219 of the DGCL (or any successor provision). The list shall also be open to the examination of any stockholder during the whole time of the meeting as provided by law.</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Presiding Officer</w:t>
      </w:r>
      <w:r>
        <w:rPr>
          <w:rFonts w:ascii="Times New Roman" w:cs="Times New Roman" w:eastAsia="Times New Roman" w:hAnsi="Times New Roman"/>
          <w:sz w:val="18"/>
          <w:szCs w:val="18"/>
          <w:color w:val="auto"/>
        </w:rPr>
        <w:t>. The Board of Directors shall designate a representative to preside over all Annual Meetings or special meetings of stockholders, provided that if the Board of Directors does not so designate such a presiding officer, then the Chairperson of the Board, if one is elected, shall preside over such meetings. If the Board of Directors does not so designate such a presiding officer and there is no Chairperson of the Board or the Chairperson of the Board is unable to so preside or is absent, then the Lead Director, if one is elected, shall preside over such meetings, provided further that if there is no Lead Director or the Lead director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Sections 4 and 5 of this Article I. The order of business and all other matters of procedure at any meeting of the stockholders shall be determined by the presiding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Inspectors of Elections</w:t>
      </w:r>
      <w:r>
        <w:rPr>
          <w:rFonts w:ascii="Times New Roman" w:cs="Times New Roman" w:eastAsia="Times New Roman" w:hAnsi="Times New Roman"/>
          <w:sz w:val="18"/>
          <w:szCs w:val="18"/>
          <w:color w:val="auto"/>
        </w:rPr>
        <w:t>.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by the Certificate or required by law.</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Number and Terms</w:t>
      </w:r>
      <w:r>
        <w:rPr>
          <w:rFonts w:ascii="Times New Roman" w:cs="Times New Roman" w:eastAsia="Times New Roman" w:hAnsi="Times New Roman"/>
          <w:sz w:val="18"/>
          <w:szCs w:val="18"/>
          <w:color w:val="auto"/>
        </w:rPr>
        <w:t>. The number of directors of the Corporation shall be fixed solely and exclusively by resolution duly adopted from time to time by the Board of Directors. The directors shall hold office in the manner provided in the Certificate.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No director need be a stockholder of the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Vacancies in the Board of Directors shall be filled in the manner provided in the Certificate.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Directors may be removed from office only in the manner provided in the Certificate.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 director may resign at any time by electronic transmission or by giving written notice to the Chairperson of the Board, if one is elected, the Lead Director, if one is elected, the Chief Executive Officer, the President or the Secretary. A resignation shall be effective upon receipt, unless the resignation otherwise provides.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The regular annual meeting of the Board of Directors shall be held, without notice other than this Section 7, on the same date as the Annual Meeting unless a different date is chosen by the Board of Directors. Other regular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may be called, orally or in writing, by or at the request of a majority of the directors, the Chairperson of the Board, if one is elected, the Lead Director, if one is elected, the Chief Executive Officer, or the President. The person calling any such special meeting of the Board of Directors may fix the hour, date and place thereof.</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Notice of the hour, date and place of all special meetings of the Board of Directors shall be given to each director by the Secretary or an Assistant Secretary, or in case of the death, absence, incapacity or refusal of such persons, by the Chairperson of the Board, if one is elected, the Lead Director, if one is elected, the Chief Executive Officer, or the President or such other officer designated by the Chairperson of the Board, if one is elected, the Lead Director, if one is elected, the Chief Executive Officer,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Action by Consent</w:t>
      </w:r>
      <w:r>
        <w:rPr>
          <w:rFonts w:ascii="Times New Roman" w:cs="Times New Roman" w:eastAsia="Times New Roman" w:hAnsi="Times New Roman"/>
          <w:sz w:val="18"/>
          <w:szCs w:val="18"/>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Manner of Participation</w:t>
      </w:r>
      <w:r>
        <w:rPr>
          <w:rFonts w:ascii="Times New Roman" w:cs="Times New Roman" w:eastAsia="Times New Roman" w:hAnsi="Times New Roman"/>
          <w:sz w:val="18"/>
          <w:szCs w:val="18"/>
          <w:color w:val="auto"/>
        </w:rPr>
        <w:t>.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Presiding Director</w:t>
      </w:r>
      <w:r>
        <w:rPr>
          <w:rFonts w:ascii="Times New Roman" w:cs="Times New Roman" w:eastAsia="Times New Roman" w:hAnsi="Times New Roman"/>
          <w:sz w:val="18"/>
          <w:szCs w:val="18"/>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Chairperson of the Board, if one is elected, shall preside over all meetings of the Board of Directors. If both the designated presiding director, if one is so designated, and the Chairperson of the Board, if one is elected, are unable to preside or are absent, then the Lead Director, if one is elected, shall preside over all meetings of the Board of Directors. If the designated presiding director, if one is so designated, the Chairperson of the Board, if one is elected, and the Lead Director, if one is elected, are unable to preside or are absent, the Board of Directors shall designate an alternate representative to preside over a meeting of the Board of Directors.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Compensation of Directors</w:t>
      </w:r>
      <w:r>
        <w:rPr>
          <w:rFonts w:ascii="Times New Roman" w:cs="Times New Roman" w:eastAsia="Times New Roman" w:hAnsi="Times New Roman"/>
          <w:sz w:val="18"/>
          <w:szCs w:val="18"/>
          <w:color w:val="auto"/>
        </w:rPr>
        <w:t>.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Enumeration</w:t>
      </w:r>
      <w:r>
        <w:rPr>
          <w:rFonts w:ascii="Times New Roman" w:cs="Times New Roman" w:eastAsia="Times New Roman" w:hAnsi="Times New Roman"/>
          <w:sz w:val="18"/>
          <w:szCs w:val="18"/>
          <w:color w:val="auto"/>
        </w:rPr>
        <w:t>. The officers of the Corporation shall consist of a President, a Treasurer, a Secretary and such other officers, including, without limitation, a Chairperson of the Board of Directors, a Lead Director, a Chief Executive Officer and one or more Vice Presidents (including Executive Vice Presidents or Senior Vice Presidents), Assistant Vice Presidents, Assistant Treasurers and Assistant Secretaries, as the Board of Directors may determine.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At the regular annual meeting of the Board of Directors following the Annual Meeting, the Board of Directors shall elect the Chief Executive Officer, President, the Treasurer and the Secretary. Other officers may be elected by the Board of Directors at such regular annual meeting of the Board of Directors or at any other regular or special meeting.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No officer need be a stockholder or a director. Any person may occupy more than one office of the Corporation at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Tenure</w:t>
      </w:r>
      <w:r>
        <w:rPr>
          <w:rFonts w:ascii="Times New Roman" w:cs="Times New Roman" w:eastAsia="Times New Roman" w:hAnsi="Times New Roman"/>
          <w:sz w:val="18"/>
          <w:szCs w:val="18"/>
          <w:color w:val="auto"/>
        </w:rPr>
        <w:t>.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Any officer may resign by delivering his or her written or electronically transmitted resignation to the Corporation addressed to the Chief Executive Officer, President or the Secretary, and such resignation shall be effective upon receipt, unless the resignation otherwise provides.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Except as otherwise provided by law or by resolution of the Board of Directors, the Board of Directors may remove any officer with or without cause by the affirmative vote of a majority of the directors then in office.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Absence or Disability</w:t>
      </w:r>
      <w:r>
        <w:rPr>
          <w:rFonts w:ascii="Times New Roman" w:cs="Times New Roman" w:eastAsia="Times New Roman" w:hAnsi="Times New Roman"/>
          <w:sz w:val="18"/>
          <w:szCs w:val="18"/>
          <w:color w:val="auto"/>
        </w:rPr>
        <w:t>. In the event of the absence or disability of any officer, the Board of Directors may designate another officer to act temporarily in place of such absent or disabled officer.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vacancy in any office may be filled for the unexpired portion of the term by the Board of Directors.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subject to the direction of the Board of Directors, have such powers and shall perform such duties as the Board of Directors may from time to time designate.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Chairperson of the Board</w:t>
      </w:r>
      <w:r>
        <w:rPr>
          <w:rFonts w:ascii="Times New Roman" w:cs="Times New Roman" w:eastAsia="Times New Roman" w:hAnsi="Times New Roman"/>
          <w:sz w:val="18"/>
          <w:szCs w:val="18"/>
          <w:color w:val="auto"/>
        </w:rPr>
        <w:t>. The Chairperson of the Board, if one is elected, shall have such powers and shall perform such duties as the Board of Directors may from time to time designate.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Lead Director</w:t>
      </w:r>
      <w:r>
        <w:rPr>
          <w:rFonts w:ascii="Times New Roman" w:cs="Times New Roman" w:eastAsia="Times New Roman" w:hAnsi="Times New Roman"/>
          <w:sz w:val="18"/>
          <w:szCs w:val="18"/>
          <w:color w:val="auto"/>
        </w:rPr>
        <w:t>. The Lead Director, if one is elected, shall have such powers and shall perform such duties as the Board of Directors may from time to time designate.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if one is elected, shall have such powers and shall perform such duties as the Board of Directors may from time to time designate.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Vice Presidents and Assistant Vice Presidents</w:t>
      </w:r>
      <w:r>
        <w:rPr>
          <w:rFonts w:ascii="Times New Roman" w:cs="Times New Roman" w:eastAsia="Times New Roman" w:hAnsi="Times New Roman"/>
          <w:sz w:val="18"/>
          <w:szCs w:val="18"/>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Treasurer and Assistant Treasurers</w:t>
      </w:r>
      <w:r>
        <w:rPr>
          <w:rFonts w:ascii="Times New Roman" w:cs="Times New Roman" w:eastAsia="Times New Roman" w:hAnsi="Times New Roman"/>
          <w:sz w:val="18"/>
          <w:szCs w:val="18"/>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Secretary and Assistant Secretaries</w:t>
      </w:r>
      <w:r>
        <w:rPr>
          <w:rFonts w:ascii="Times New Roman" w:cs="Times New Roman" w:eastAsia="Times New Roman" w:hAnsi="Times New Roman"/>
          <w:sz w:val="18"/>
          <w:szCs w:val="18"/>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Other Powers and Duties</w:t>
      </w:r>
      <w:r>
        <w:rPr>
          <w:rFonts w:ascii="Times New Roman" w:cs="Times New Roman" w:eastAsia="Times New Roman" w:hAnsi="Times New Roman"/>
          <w:sz w:val="18"/>
          <w:szCs w:val="18"/>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Capital Stock</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Certificates of Stock</w:t>
      </w:r>
      <w:r>
        <w:rPr>
          <w:rFonts w:ascii="Times New Roman" w:cs="Times New Roman" w:eastAsia="Times New Roman" w:hAnsi="Times New Roman"/>
          <w:sz w:val="18"/>
          <w:szCs w:val="18"/>
          <w:color w:val="auto"/>
        </w:rPr>
        <w:t>.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of the Corporation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Record Holders</w:t>
      </w:r>
      <w:r>
        <w:rPr>
          <w:rFonts w:ascii="Times New Roman" w:cs="Times New Roman" w:eastAsia="Times New Roman" w:hAnsi="Times New Roman"/>
          <w:sz w:val="18"/>
          <w:szCs w:val="18"/>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Replacement of Certificates</w:t>
      </w:r>
      <w:r>
        <w:rPr>
          <w:rFonts w:ascii="Times New Roman" w:cs="Times New Roman" w:eastAsia="Times New Roman" w:hAnsi="Times New Roman"/>
          <w:sz w:val="18"/>
          <w:szCs w:val="18"/>
          <w:color w:val="auto"/>
        </w:rPr>
        <w:t>. In case of the alleged loss, destruction or mutilation of a certificate of stock of the Corporation, a duplicate certificate may be issued in place thereof, upon such terms as the Board of Directors may prescribe.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Article:</w:t>
      </w:r>
    </w:p>
    <w:p>
      <w:pPr>
        <w:spacing w:after="0" w:line="225" w:lineRule="exact"/>
        <w:rPr>
          <w:sz w:val="20"/>
          <w:szCs w:val="20"/>
          <w:color w:val="auto"/>
        </w:rPr>
      </w:pPr>
    </w:p>
    <w:p>
      <w:pPr>
        <w:jc w:val="both"/>
        <w:ind w:firstLine="656"/>
        <w:spacing w:after="0" w:line="254" w:lineRule="auto"/>
        <w:tabs>
          <w:tab w:leader="none" w:pos="9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9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means any person who serves or has served the Corporation as a director on the Board of Directors of the Corporation;</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“Disinterested Director” means, with respect to each Proceeding in respect of which indemnification is sought hereunder, a Director of the Corporation who is not and was not a party to such Proceeding;</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2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ind w:left="244" w:hanging="244"/>
        <w:spacing w:after="0"/>
        <w:tabs>
          <w:tab w:leader="none" w:pos="2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means judgments, damages, liabilities, losses, penalties, excise taxes, fines and amounts paid in settlement;</w:t>
      </w:r>
    </w:p>
    <w:p>
      <w:pPr>
        <w:spacing w:after="0" w:line="225" w:lineRule="exact"/>
        <w:rPr>
          <w:rFonts w:ascii="Times New Roman" w:cs="Times New Roman" w:eastAsia="Times New Roman" w:hAnsi="Times New Roman"/>
          <w:sz w:val="18"/>
          <w:szCs w:val="18"/>
          <w:color w:val="auto"/>
        </w:rPr>
      </w:pPr>
    </w:p>
    <w:p>
      <w:pPr>
        <w:ind w:left="-656" w:firstLine="656"/>
        <w:spacing w:after="0" w:line="282" w:lineRule="auto"/>
        <w:tabs>
          <w:tab w:leader="none" w:pos="2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“Non-Officer Employee” means any person who serves or has served as an employee or agent of the Corporation, but who is not or was not a Director or Officer;</w:t>
      </w:r>
    </w:p>
    <w:p>
      <w:pPr>
        <w:spacing w:after="0" w:line="161" w:lineRule="exact"/>
        <w:rPr>
          <w:rFonts w:ascii="Times New Roman" w:cs="Times New Roman" w:eastAsia="Times New Roman" w:hAnsi="Times New Roman"/>
          <w:sz w:val="18"/>
          <w:szCs w:val="18"/>
          <w:color w:val="auto"/>
        </w:rPr>
      </w:pPr>
    </w:p>
    <w:p>
      <w:pPr>
        <w:ind w:left="-656" w:firstLine="656"/>
        <w:spacing w:after="0" w:line="282" w:lineRule="auto"/>
        <w:tabs>
          <w:tab w:leader="none" w:pos="25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 means any person who serves or has served the Corporation as an officer of the Corporation appointed by the Board of Directors of the Corporation;</w:t>
      </w:r>
    </w:p>
    <w:p>
      <w:pPr>
        <w:spacing w:after="0" w:line="161" w:lineRule="exact"/>
        <w:rPr>
          <w:rFonts w:ascii="Times New Roman" w:cs="Times New Roman" w:eastAsia="Times New Roman" w:hAnsi="Times New Roman"/>
          <w:sz w:val="18"/>
          <w:szCs w:val="18"/>
          <w:color w:val="auto"/>
        </w:rPr>
      </w:pPr>
    </w:p>
    <w:p>
      <w:pPr>
        <w:ind w:left="-656" w:firstLine="656"/>
        <w:spacing w:after="0" w:line="282" w:lineRule="auto"/>
        <w:tabs>
          <w:tab w:leader="none" w:pos="30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22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56" w:firstLine="656"/>
        <w:spacing w:after="0" w:line="261" w:lineRule="auto"/>
        <w:tabs>
          <w:tab w:leader="none" w:pos="23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operation of Section 4 of this Article V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90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Other than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3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94" w:lineRule="exact"/>
        <w:rPr>
          <w:rFonts w:ascii="Times New Roman" w:cs="Times New Roman" w:eastAsia="Times New Roman" w:hAnsi="Times New Roman"/>
          <w:sz w:val="18"/>
          <w:szCs w:val="18"/>
          <w:color w:val="auto"/>
        </w:rPr>
      </w:pPr>
    </w:p>
    <w:p>
      <w:pPr>
        <w:ind w:left="4" w:right="20" w:firstLine="644"/>
        <w:spacing w:after="0" w:line="282" w:lineRule="auto"/>
        <w:tabs>
          <w:tab w:leader="none" w:pos="90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Rights</w:t>
      </w:r>
      <w:r>
        <w:rPr>
          <w:rFonts w:ascii="Times New Roman" w:cs="Times New Roman" w:eastAsia="Times New Roman" w:hAnsi="Times New Roman"/>
          <w:sz w:val="18"/>
          <w:szCs w:val="18"/>
          <w:color w:val="auto"/>
        </w:rPr>
        <w:t>. The rights of indemnification provided by this Section 2 shall continue as to a Director or Officer after he or she has ceased to be a Director or Officer and shall inure to the benefit of his or her heirs, executors, administrators and personal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337185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15" w:name="page16"/>
    <w:bookmarkEnd w:id="15"/>
    <w:p>
      <w:pPr>
        <w:jc w:val="both"/>
        <w:ind w:left="660" w:firstLine="644"/>
        <w:spacing w:after="0" w:line="258" w:lineRule="auto"/>
        <w:tabs>
          <w:tab w:leader="none" w:pos="157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by Directors or Officers</w:t>
      </w:r>
      <w:r>
        <w:rPr>
          <w:rFonts w:ascii="Times New Roman" w:cs="Times New Roman" w:eastAsia="Times New Roman" w:hAnsi="Times New Roman"/>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of the Corporation, unless such Proceeding was brought to enforce such Officer’s or Director’s rights to indemnification or, in the case of Directors, advancement of Expenses under these Bylaws in accordance with the provisions set forth herein.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Indemnification of Non-Officer Employees</w:t>
      </w:r>
      <w:r>
        <w:rPr>
          <w:rFonts w:ascii="Times New Roman" w:cs="Times New Roman" w:eastAsia="Times New Roman" w:hAnsi="Times New Roman"/>
          <w:sz w:val="18"/>
          <w:szCs w:val="18"/>
          <w:color w:val="auto"/>
        </w:rPr>
        <w:t>. Subject to the operation of Section 4 of this Article V of these Bylaws, each Non-Officer Employee may, in the discretion of the Board of Directors of the Corporation,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 of the Corporation.</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Advancement of Expenses to Directors Prior to Final Disposition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89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of the Corporation, or (ii) brought to enforce such Director’s rights to indemnification or advancement of Expenses under these Bylaws.</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91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jc w:val="both"/>
        <w:ind w:firstLine="656"/>
        <w:spacing w:after="0" w:line="282" w:lineRule="auto"/>
        <w:tabs>
          <w:tab w:leader="none" w:pos="89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Advancement of Expenses to Officers and Non-Officer Employees Prior to Final Disposition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5" w:lineRule="auto"/>
        <w:tabs>
          <w:tab w:leader="none" w:pos="90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at the discretion of the Board of Directors of the Corporation,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1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Contractual Nature of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89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of Incorporation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distributes of such person.</w:t>
      </w:r>
    </w:p>
    <w:p>
      <w:pPr>
        <w:spacing w:after="0" w:line="194" w:lineRule="exact"/>
        <w:rPr>
          <w:rFonts w:ascii="Times New Roman" w:cs="Times New Roman" w:eastAsia="Times New Roman" w:hAnsi="Times New Roman"/>
          <w:sz w:val="18"/>
          <w:szCs w:val="18"/>
          <w:color w:val="auto"/>
        </w:rPr>
      </w:pPr>
    </w:p>
    <w:p>
      <w:pPr>
        <w:jc w:val="both"/>
        <w:ind w:firstLine="656"/>
        <w:spacing w:after="0" w:line="255" w:lineRule="auto"/>
        <w:tabs>
          <w:tab w:leader="none" w:pos="91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rights to indemnification and to advancement of Expenses set forth in this Article V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determined by the Board of Directors.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Board of Directors shall have power to adopt and alter the seal of the Corporation.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All deeds, leases, transfers, contracts, bonds, notes and other obligations to be entered into by the Corporation in the ordinary course of its business without director action may be executed on behalf of the Corporation by the Chairperson of the Board, if one is elected, the Lead Director, if one is elected, the Chief Executive Officer, the President or the Treasurer or any other officer, employee or agent of the Corporation as the Board of Directors or the executive committee of the Board may authorize.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Voting of Securities</w:t>
      </w:r>
      <w:r>
        <w:rPr>
          <w:rFonts w:ascii="Times New Roman" w:cs="Times New Roman" w:eastAsia="Times New Roman" w:hAnsi="Times New Roman"/>
          <w:sz w:val="18"/>
          <w:szCs w:val="18"/>
          <w:color w:val="auto"/>
        </w:rPr>
        <w:t>. Unless the Board of Directors otherwise provides, the Chairperson of the Board, if one is elected, the Lead Director, if one is elected, the Chief Executive Officer, the President or the Treasurer may waive notice of and act on behalf of the Corporation (including with regard to voting and actions by written consent),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Resident Agent</w:t>
      </w:r>
      <w:r>
        <w:rPr>
          <w:rFonts w:ascii="Times New Roman" w:cs="Times New Roman" w:eastAsia="Times New Roman" w:hAnsi="Times New Roman"/>
          <w:sz w:val="18"/>
          <w:szCs w:val="18"/>
          <w:color w:val="auto"/>
        </w:rPr>
        <w:t>. The Board of Directors may appoint a resident agent upon whom legal process may be served in any action or proceeding against the Corporation.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All references in these Bylaws to the Certificate shall be deemed to refer to the Amended and Restated Certificate of Incorporation of the Corporation, as amended and/or restated and in effect from time to time.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Exclusive Jurisdiction</w:t>
      </w:r>
      <w:r>
        <w:rPr>
          <w:rFonts w:ascii="Times New Roman" w:cs="Times New Roman" w:eastAsia="Times New Roman" w:hAnsi="Times New Roman"/>
          <w:sz w:val="18"/>
          <w:szCs w:val="18"/>
          <w:color w:val="auto"/>
        </w:rPr>
        <w:t>. Unless the Corporation consents in writing to the selection of an alternative forum, the Court of Chancery of the State of Delaware shall be the sole and exclusive forum for state law claims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Certificate or Bylaws, (iv) any action to interpret, apply, enforce or determine the validity of the Certificate or Bylaws, or (v) any action asserting a claim against the Corporation governed by the internal affairs doctrine (the “Delaware Forum Provision”). The Delaware Forum Provision shall not apply to any claims arising under the Exchange Act or the Securities Act of 1933, as amended (the “Securities Act”). In addition, unless the Corporation consents in writing to the selection of an alternative forum, the United States District Courts for the District of Delaware and District of Massachusetts shall be the sole and exclusive forums for resolving any action asserting a claim arising under the Securities Act. Any person or entity purchasing or otherwise acquiring any interest in shares of capital stock of the Corporation shall be deemed to have notice of and consented to the provisions of this Section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Amendment of Bylaws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82" w:lineRule="auto"/>
        <w:tabs>
          <w:tab w:leader="none" w:pos="8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provided otherwise by law, these Bylaws may be amended or repealed by the Board of Directors by the affirmative vote of a majority of the directors then in office.</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required by these Bylaws or by law, these Bylaws may be amended or repealed at any Annual Meeting, or special meeting of stockholders called for such purpose in accordance with these Bylaws, by the affirmative vote of not less than two thirds (2/3)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on June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1560195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Letter"/>
      <w:start w:val="1"/>
    </w:lvl>
    <w:lvl w:ilvl="1">
      <w:lvlJc w:val="left"/>
      <w:lvlText w:val="(%2)"/>
      <w:numFmt w:val="decimal"/>
      <w:start w:val="1"/>
    </w:lvl>
  </w:abstractNum>
  <w:abstractNum w:abstractNumId="2">
    <w:nsid w:val="1190CDE7"/>
    <w:multiLevelType w:val="hybridMultilevel"/>
    <w:lvl w:ilvl="0">
      <w:lvlJc w:val="left"/>
      <w:lvlText w:val="%1"/>
      <w:numFmt w:val="lowerRoman"/>
      <w:start w:val="1"/>
    </w:lvl>
    <w:lvl w:ilvl="1">
      <w:lvlJc w:val="left"/>
      <w:lvlText w:val="(%2)"/>
      <w:numFmt w:val="upperLetter"/>
      <w:start w:val="1"/>
    </w:lvl>
  </w:abstractNum>
  <w:abstractNum w:abstractNumId="3">
    <w:nsid w:val="66EF438D"/>
    <w:multiLevelType w:val="hybridMultilevel"/>
    <w:lvl w:ilvl="0">
      <w:lvlJc w:val="left"/>
      <w:lvlText w:val="(%1)"/>
      <w:numFmt w:val="lowerRoman"/>
      <w:start w:val="5"/>
    </w:lvl>
    <w:lvl w:ilvl="1">
      <w:lvlJc w:val="left"/>
      <w:lvlText w:val="%2"/>
      <w:numFmt w:val="upperLetter"/>
      <w:start w:val="1"/>
    </w:lvl>
  </w:abstractNum>
  <w:abstractNum w:abstractNumId="4">
    <w:nsid w:val="140E0F76"/>
    <w:multiLevelType w:val="hybridMultilevel"/>
    <w:lvl w:ilvl="0">
      <w:lvlJc w:val="left"/>
      <w:lvlText w:val="(%1)"/>
      <w:numFmt w:val="lowerRoman"/>
      <w:start w:val="7"/>
    </w:lvl>
    <w:lvl w:ilvl="1">
      <w:lvlJc w:val="left"/>
      <w:lvlText w:val="(%2)"/>
      <w:numFmt w:val="upperLetter"/>
      <w:start w:val="2"/>
    </w:lvl>
  </w:abstractNum>
  <w:abstractNum w:abstractNumId="5">
    <w:nsid w:val="3352255A"/>
    <w:multiLevelType w:val="hybridMultilevel"/>
    <w:lvl w:ilvl="0">
      <w:lvlJc w:val="left"/>
      <w:lvlText w:val="(%1)"/>
      <w:numFmt w:val="upperLetter"/>
      <w:start w:val="4"/>
    </w:lvl>
  </w:abstractNum>
  <w:abstractNum w:abstractNumId="6">
    <w:nsid w:val="109CF92E"/>
    <w:multiLevelType w:val="hybridMultilevel"/>
    <w:lvl w:ilvl="0">
      <w:lvlJc w:val="left"/>
      <w:lvlText w:val="(%1)"/>
      <w:numFmt w:val="decimal"/>
      <w:start w:val="3"/>
    </w:lvl>
  </w:abstractNum>
  <w:abstractNum w:abstractNumId="7">
    <w:nsid w:val="DED7263"/>
    <w:multiLevelType w:val="hybridMultilevel"/>
    <w:lvl w:ilvl="0">
      <w:lvlJc w:val="left"/>
      <w:lvlText w:val="%1"/>
      <w:numFmt w:val="lowerLetter"/>
      <w:start w:val="1"/>
    </w:lvl>
    <w:lvl w:ilvl="1">
      <w:lvlJc w:val="left"/>
      <w:lvlText w:val="(%2)"/>
      <w:numFmt w:val="decimal"/>
      <w:start w:val="4"/>
    </w:lvl>
  </w:abstractNum>
  <w:abstractNum w:abstractNumId="8">
    <w:nsid w:val="7FDCC233"/>
    <w:multiLevelType w:val="hybridMultilevel"/>
    <w:lvl w:ilvl="0">
      <w:lvlJc w:val="left"/>
      <w:lvlText w:val="(%1)"/>
      <w:numFmt w:val="lowerLetter"/>
      <w:start w:val="2"/>
    </w:lvl>
    <w:lvl w:ilvl="1">
      <w:lvlJc w:val="left"/>
      <w:lvlText w:val="(%2)"/>
      <w:numFmt w:val="decimal"/>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lowerRoman"/>
      <w:start w:val="2"/>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5"/>
    </w:lvl>
  </w:abstractNum>
  <w:abstractNum w:abstractNumId="13">
    <w:nsid w:val="25E45D32"/>
    <w:multiLevelType w:val="hybridMultilevel"/>
    <w:lvl w:ilvl="0">
      <w:lvlJc w:val="left"/>
      <w:lvlText w:val="(%1)"/>
      <w:numFmt w:val="lowerLetter"/>
      <w:start w:val="1"/>
    </w:lvl>
    <w:lvl w:ilvl="1">
      <w:lvlJc w:val="left"/>
      <w:lvlText w:val="(%2)"/>
      <w:numFmt w:val="decimal"/>
      <w:start w:val="1"/>
    </w:lvl>
  </w:abstractNum>
  <w:abstractNum w:abstractNumId="14">
    <w:nsid w:val="519B500D"/>
    <w:multiLevelType w:val="hybridMultilevel"/>
    <w:lvl w:ilvl="0">
      <w:lvlJc w:val="left"/>
      <w:lvlText w:val="(%1)"/>
      <w:numFmt w:val="decimal"/>
      <w:start w:val="4"/>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3"/>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2026-06-23T05:28:19Z</dcterms:created>
  <dcterms:modified xsi:type="dcterms:W3CDTF">2026-06-23T05:28:19Z</dcterms:modified>
</cp:coreProperties>
</file>