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2226.htm"/>
      <w:bookmarkStart w:id="1" w:name="ksf8k_092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22, 2026</w:t>
      </w:r>
    </w:p>
    <w:p>
      <w:pPr>
        <w:pStyle w:val="TextBody"/>
        <w:bidi w:val="0"/>
        <w:jc w:val="center"/>
        <w:rPr/>
      </w:pPr>
      <w:r>
        <w:rPr/>
        <w:t>_______________________________</w:t>
      </w:r>
    </w:p>
    <w:p>
      <w:pPr>
        <w:pStyle w:val="TextBody"/>
        <w:bidi w:val="0"/>
        <w:spacing w:before="120" w:after="283"/>
        <w:jc w:val="center"/>
        <w:rPr>
          <w:b/>
          <w:sz w:val="24"/>
        </w:rPr>
      </w:pPr>
      <w:r>
        <w:rPr>
          <w:b/>
          <w:sz w:val="24"/>
        </w:rPr>
        <w:t>Compass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001-39696</w:t>
            </w:r>
          </w:p>
        </w:tc>
        <w:tc>
          <w:tcPr>
            <w:tcW w:w="2900" w:type="dxa"/>
            <w:tcBorders/>
            <w:vAlign w:val="center"/>
          </w:tcPr>
          <w:p>
            <w:pPr>
              <w:pStyle w:val="TableContents"/>
              <w:bidi w:val="0"/>
              <w:spacing w:before="0" w:after="283"/>
              <w:jc w:val="center"/>
              <w:rPr>
                <w:b/>
                <w:sz w:val="20"/>
              </w:rPr>
            </w:pPr>
            <w:r>
              <w:rPr>
                <w:b/>
                <w:sz w:val="20"/>
              </w:rPr>
              <w:t>82-4876496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80 Guest Street, Suite 601</w:t>
      </w:r>
    </w:p>
    <w:p>
      <w:pPr>
        <w:pStyle w:val="TextBody"/>
        <w:bidi w:val="0"/>
        <w:spacing w:before="0" w:after="0"/>
        <w:jc w:val="center"/>
        <w:rPr>
          <w:b/>
          <w:sz w:val="20"/>
        </w:rPr>
      </w:pPr>
      <w:r>
        <w:rPr>
          <w:b/>
          <w:sz w:val="20"/>
        </w:rPr>
        <w:t>Boston, Massachusetts 02135</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(617) 500-8099</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05" w:type="dxa"/>
            <w:tcBorders/>
            <w:tcMar>
              <w:bottom w:w="0" w:type="dxa"/>
            </w:tcMar>
            <w:vAlign w:val="center"/>
          </w:tcPr>
          <w:p>
            <w:pPr>
              <w:pStyle w:val="TableContents"/>
              <w:bidi w:val="0"/>
              <w:spacing w:before="0" w:after="283"/>
              <w:jc w:val="center"/>
              <w:rPr>
                <w:sz w:val="20"/>
              </w:rPr>
            </w:pPr>
            <w:r>
              <w:rPr>
                <w:sz w:val="20"/>
              </w:rPr>
              <w:t>Common Stock, $0.0001 par value per share</w:t>
            </w:r>
          </w:p>
        </w:tc>
        <w:tc>
          <w:tcPr>
            <w:tcW w:w="1535" w:type="dxa"/>
            <w:tcBorders/>
            <w:tcMar>
              <w:bottom w:w="0" w:type="dxa"/>
            </w:tcMar>
            <w:vAlign w:val="center"/>
          </w:tcPr>
          <w:p>
            <w:pPr>
              <w:pStyle w:val="TableContents"/>
              <w:bidi w:val="0"/>
              <w:spacing w:before="0" w:after="283"/>
              <w:jc w:val="center"/>
              <w:rPr>
                <w:sz w:val="20"/>
              </w:rPr>
            </w:pPr>
            <w:r>
              <w:rPr>
                <w:sz w:val="20"/>
              </w:rPr>
              <w:t>CMPX</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September 22, 2026, Compass Therapeutics, Inc. (the “Company”) issued a press release announcing regulatory feedback from the FDA relating to tovecimig in patients with biliary tract cancer (“BTC”).</w:t>
      </w:r>
    </w:p>
    <w:p>
      <w:pPr>
        <w:pStyle w:val="TextBody"/>
        <w:bidi w:val="0"/>
        <w:spacing w:before="0" w:after="283"/>
        <w:jc w:val="left"/>
        <w:rPr/>
      </w:pPr>
      <w:r>
        <w:rPr/>
        <w:t> </w:t>
      </w:r>
    </w:p>
    <w:p>
      <w:pPr>
        <w:pStyle w:val="TextBody"/>
        <w:bidi w:val="0"/>
        <w:jc w:val="left"/>
        <w:rPr>
          <w:sz w:val="20"/>
        </w:rPr>
      </w:pPr>
      <w:r>
        <w:rPr>
          <w:sz w:val="20"/>
        </w:rPr>
        <w:t>A copy of the full press release is attached as Exhibit 99.1 to this Current Report on Form 8-K and incorporated by reference herein.</w:t>
      </w:r>
    </w:p>
    <w:p>
      <w:pPr>
        <w:pStyle w:val="TextBody"/>
        <w:bidi w:val="0"/>
        <w:spacing w:before="0" w:after="283"/>
        <w:jc w:val="left"/>
        <w:rPr/>
      </w:pPr>
      <w:r>
        <w:rPr/>
        <w:t> </w:t>
      </w:r>
    </w:p>
    <w:p>
      <w:pPr>
        <w:pStyle w:val="TextBody"/>
        <w:bidi w:val="0"/>
        <w:jc w:val="left"/>
        <w:rPr>
          <w:sz w:val="20"/>
        </w:rPr>
      </w:pPr>
      <w:r>
        <w:rPr>
          <w:sz w:val="20"/>
        </w:rPr>
        <w:t>The information contained in this Item 7.01 (including Exhibit 99.1)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pStyle w:val="TextBody"/>
        <w:bidi w:val="0"/>
        <w:spacing w:before="0" w:after="283"/>
        <w:jc w:val="left"/>
        <w:rPr/>
      </w:pPr>
      <w:r>
        <w:rPr/>
        <w:t> </w:t>
      </w:r>
    </w:p>
    <w:p>
      <w:pPr>
        <w:pStyle w:val="TextBody"/>
        <w:bidi w:val="0"/>
        <w:spacing w:before="0" w:after="283"/>
        <w:jc w:val="left"/>
        <w:rPr/>
      </w:pPr>
      <w:r>
        <w:rPr>
          <w:rStyle w:val="StrongEmphasis"/>
          <w:sz w:val="20"/>
        </w:rPr>
        <w:t>Forward-Looking Statements</w:t>
      </w:r>
    </w:p>
    <w:p>
      <w:pPr>
        <w:pStyle w:val="TextBody"/>
        <w:bidi w:val="0"/>
        <w:spacing w:before="0" w:after="283"/>
        <w:jc w:val="left"/>
        <w:rPr/>
      </w:pPr>
      <w:r>
        <w:rPr/>
        <w:t> </w:t>
      </w:r>
    </w:p>
    <w:p>
      <w:pPr>
        <w:pStyle w:val="TextBody"/>
        <w:bidi w:val="0"/>
        <w:jc w:val="left"/>
        <w:rPr>
          <w:sz w:val="20"/>
        </w:rPr>
      </w:pPr>
      <w:r>
        <w:rPr>
          <w:sz w:val="20"/>
        </w:rPr>
        <w:t>This Current Report on Form 8-K contains forward-looking statements. Statements that are not purely historical are forward-looking statements. Such forward-looking statements include, among other things, statements regarding Compass's product candidates, including the potential of tovecimig to provide a treatment option for patients with BTC in the second-line setting, additional results of the COMPANION-002 study, and the timing and nature of any regulatory interactions and subsequent approval pathways, including Compass's intention to discuss the data in the COMPANION-002 Randomized Phase 2/3 Study with the FDA in advance of a planned BLA submission, and the expectation to present the complete dataset at a medical conference this year.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Current Report on Form 8-K,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www.sec.gov, including without limitation Compass's latest Annual Report on Form 10-K and subsequent filings with the SEC.</w:t>
      </w:r>
    </w:p>
    <w:p>
      <w:pPr>
        <w:pStyle w:val="TextBody"/>
        <w:bidi w:val="0"/>
        <w:spacing w:before="0" w:after="283"/>
        <w:jc w:val="left"/>
        <w:rPr/>
      </w:pPr>
      <w:r>
        <w:rPr>
          <w:rStyle w:val="StrongEmphasis"/>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jc w:val="left"/>
        <w:rPr>
          <w:sz w:val="20"/>
        </w:rPr>
      </w:pPr>
      <w:r>
        <w:rPr>
          <w:sz w:val="20"/>
        </w:rPr>
        <w:t>(d) Exhibits</w:t>
      </w:r>
    </w:p>
    <w:p>
      <w:pPr>
        <w:pStyle w:val="TextBody"/>
        <w:bidi w:val="0"/>
        <w:spacing w:before="0" w:after="283"/>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rPr>
            </w:pPr>
            <w:r>
              <w:rPr>
                <w:b/>
                <w:sz w:val="20"/>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22,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560" w:type="dxa"/>
        <w:jc w:val="left"/>
        <w:tblInd w:w="0" w:type="dxa"/>
        <w:tblLayout w:type="fixed"/>
        <w:tblCellMar>
          <w:top w:w="0" w:type="dxa"/>
          <w:left w:w="0" w:type="dxa"/>
          <w:bottom w:w="0" w:type="dxa"/>
          <w:right w:w="0" w:type="dxa"/>
        </w:tblCellMar>
      </w:tblPr>
      <w:tblGrid>
        <w:gridCol w:w="2120"/>
        <w:gridCol w:w="365"/>
        <w:gridCol w:w="2075"/>
      </w:tblGrid>
      <w:tr>
        <w:trPr/>
        <w:tc>
          <w:tcPr>
            <w:tcW w:w="21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sz w:val="20"/>
              </w:rPr>
            </w:pPr>
            <w:r>
              <w:rPr>
                <w:b/>
                <w:sz w:val="20"/>
              </w:rPr>
              <w:t>Compass Therapeutics, Inc.</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22, 2026</w:t>
            </w:r>
          </w:p>
        </w:tc>
        <w:tc>
          <w:tcPr>
            <w:tcW w:w="365" w:type="dxa"/>
            <w:tcBorders/>
            <w:vAlign w:val="center"/>
          </w:tcPr>
          <w:p>
            <w:pPr>
              <w:pStyle w:val="TableContents"/>
              <w:bidi w:val="0"/>
              <w:spacing w:before="0" w:after="283"/>
              <w:jc w:val="left"/>
              <w:rPr>
                <w:sz w:val="20"/>
              </w:rPr>
            </w:pPr>
            <w:r>
              <w:rPr>
                <w:sz w:val="20"/>
              </w:rPr>
              <w:t>By: </w:t>
            </w:r>
          </w:p>
        </w:tc>
        <w:tc>
          <w:tcPr>
            <w:tcW w:w="2075" w:type="dxa"/>
            <w:tcBorders/>
            <w:vAlign w:val="center"/>
          </w:tcPr>
          <w:p>
            <w:pPr>
              <w:pStyle w:val="TableContents"/>
              <w:bidi w:val="0"/>
              <w:spacing w:before="0" w:after="283"/>
              <w:jc w:val="left"/>
              <w:rPr>
                <w:sz w:val="20"/>
                <w:u w:val="single"/>
              </w:rPr>
            </w:pPr>
            <w:r>
              <w:rPr>
                <w:sz w:val="20"/>
                <w:u w:val="single"/>
              </w:rPr>
              <w:t>/s/ Neil Lerner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Neil Lerner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Chief Accounting Officer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Compass Therapeutics Provides Regulatory Update on Tovecimig in Biliary Tract Cancer Following FDA Feedback</w:t>
      </w:r>
    </w:p>
    <w:p>
      <w:pPr>
        <w:pStyle w:val="TextBody"/>
        <w:numPr>
          <w:ilvl w:val="0"/>
          <w:numId w:val="2"/>
        </w:numPr>
        <w:tabs>
          <w:tab w:val="clear" w:pos="1134"/>
          <w:tab w:val="left" w:pos="709" w:leader="none"/>
        </w:tabs>
        <w:bidi w:val="0"/>
        <w:spacing w:before="0" w:after="0"/>
        <w:ind w:left="709" w:hanging="283"/>
        <w:jc w:val="left"/>
        <w:rPr/>
      </w:pPr>
      <w:r>
        <w:rPr>
          <w:rStyle w:val="Emphasis"/>
        </w:rPr>
        <w:t>The FDA recommended that Compass conduct a trial to demonstrate a survival benefit prior to submitting a BLA for tovecimig.</w:t>
      </w:r>
    </w:p>
    <w:p>
      <w:pPr>
        <w:pStyle w:val="TextBody"/>
        <w:numPr>
          <w:ilvl w:val="0"/>
          <w:numId w:val="2"/>
        </w:numPr>
        <w:tabs>
          <w:tab w:val="clear" w:pos="1134"/>
          <w:tab w:val="left" w:pos="709" w:leader="none"/>
        </w:tabs>
        <w:bidi w:val="0"/>
        <w:spacing w:before="0" w:after="0"/>
        <w:ind w:left="709" w:hanging="283"/>
        <w:jc w:val="left"/>
        <w:rPr/>
      </w:pPr>
      <w:r>
        <w:rPr>
          <w:rStyle w:val="Emphasis"/>
        </w:rPr>
        <w:t>Compass does not believe that a new trial is warranted prior to submitting a BLA based on the data from the Phase 2/3 COMPANION-002 study and the urgent unmet medical need for patients with BTC.</w:t>
      </w:r>
    </w:p>
    <w:p>
      <w:pPr>
        <w:pStyle w:val="TextBody"/>
        <w:numPr>
          <w:ilvl w:val="0"/>
          <w:numId w:val="2"/>
        </w:numPr>
        <w:tabs>
          <w:tab w:val="clear" w:pos="1134"/>
          <w:tab w:val="left" w:pos="709" w:leader="none"/>
        </w:tabs>
        <w:bidi w:val="0"/>
        <w:spacing w:before="0" w:after="0"/>
        <w:ind w:left="709" w:hanging="283"/>
        <w:jc w:val="left"/>
        <w:rPr/>
      </w:pPr>
      <w:r>
        <w:rPr>
          <w:rStyle w:val="Emphasis"/>
        </w:rPr>
        <w:t xml:space="preserve">Compass intends to further engage with the FDA as we continue to prepare a BLA submission for tovecimig. </w:t>
      </w:r>
    </w:p>
    <w:p>
      <w:pPr>
        <w:pStyle w:val="TextBody"/>
        <w:numPr>
          <w:ilvl w:val="0"/>
          <w:numId w:val="2"/>
        </w:numPr>
        <w:tabs>
          <w:tab w:val="clear" w:pos="1134"/>
          <w:tab w:val="left" w:pos="709" w:leader="none"/>
        </w:tabs>
        <w:bidi w:val="0"/>
        <w:ind w:left="709" w:hanging="283"/>
        <w:jc w:val="left"/>
        <w:rPr/>
      </w:pPr>
      <w:r>
        <w:rPr>
          <w:rStyle w:val="Emphasis"/>
        </w:rPr>
        <w:t>Compass remains confident in tovecimig based on the positive results from COMPANION-002, including the statistically significant improvements in ORR and PFS.</w:t>
      </w:r>
    </w:p>
    <w:p>
      <w:pPr>
        <w:pStyle w:val="TextBody"/>
        <w:bidi w:val="0"/>
        <w:spacing w:before="0" w:after="283"/>
        <w:jc w:val="left"/>
        <w:rPr/>
      </w:pPr>
      <w:r>
        <w:rPr/>
        <w:t>BOSTON, Sept. 22, 2026 (GLOBE NEWSWIRE) -- Compass Therapeutics, Inc. (Nasdaq: CMPX), a clinical-stage, oncology-focused biopharmaceutical company developing proprietary antibody-based therapeutics to treat multiple human diseases, today announced that the U.S. Food and Drug Administration (FDA) recommended that Compass conduct a trial demonstrating a survival benefit before proceeding with a Biologics License Application (BLA) submission for tovecimig in patients with previously treated, advanced biliary tract cancer (BTC).</w:t>
      </w:r>
    </w:p>
    <w:p>
      <w:pPr>
        <w:pStyle w:val="TextBody"/>
        <w:bidi w:val="0"/>
        <w:spacing w:before="0" w:after="283"/>
        <w:jc w:val="left"/>
        <w:rPr/>
      </w:pPr>
      <w:r>
        <w:rPr/>
        <w:t>BTC is an aggressive, life-threatening cancer with poor survival outcomes, and effective options remain limited for patients who have received prior treatment, underscoring the urgent need for new approaches.</w:t>
      </w:r>
    </w:p>
    <w:p>
      <w:pPr>
        <w:pStyle w:val="TextBody"/>
        <w:bidi w:val="0"/>
        <w:spacing w:before="0" w:after="283"/>
        <w:jc w:val="left"/>
        <w:rPr/>
      </w:pPr>
      <w:r>
        <w:rPr/>
        <w:t>As previously disclosed, in the positive Phase 2/3 COMPANION-002 study, tovecimig plus paclitaxel demonstrated a statistically significant improvement in the primary endpoint of objective response rate (ORR) of 18.0% vs. 5.3% with paclitaxel alone (p=0.0228) and a highly significant improvement in progression-free survival (PFS) in patients with BTC who had received prior treatment. Median PFS was 4.7 vs. 2.6 months with a hazard ratio of 0.44 (p&lt;0.0001), representing a compelling 56% reduction in the risk of disease progression. Overall survival (OS) analyses were confounded by both high crossover and notably prolonged survival in crossover patients randomized to the control arm then treated with tovecimig and, therefore, did not meet statistical significance. The safety profile was generally consistent with previously reported data from prior tovecimig studies.</w:t>
      </w:r>
    </w:p>
    <w:p>
      <w:pPr>
        <w:pStyle w:val="TextBody"/>
        <w:bidi w:val="0"/>
        <w:spacing w:before="0" w:after="283"/>
        <w:jc w:val="left"/>
        <w:rPr/>
      </w:pPr>
      <w:r>
        <w:rPr/>
        <w:t>“</w:t>
      </w:r>
      <w:r>
        <w:rPr/>
        <w:t>While this is not the response we expected, we respect the FDA’s feedback and our priority is to work with the Agency to determine the best path forward to support our planned BLA submission and address this pressing unmet need,” said Thomas Schuetz, M.D., Ph.D., Chief Executive Officer of Compass. “We remain confident that the COMPANION-002 findings, including the statistically significant improvements in PFS and ORR combined with subset analyses on survival, demonstrate clinically meaningful activity in patients with previously treated, advanced BTC.”</w:t>
      </w:r>
    </w:p>
    <w:p>
      <w:pPr>
        <w:pStyle w:val="TextBody"/>
        <w:bidi w:val="0"/>
        <w:spacing w:before="0" w:after="283"/>
        <w:jc w:val="left"/>
        <w:rPr/>
      </w:pPr>
      <w:r>
        <w:rPr>
          <w:rStyle w:val="StrongEmphasis"/>
        </w:rPr>
        <w:t>About Tovecimig</w:t>
      </w:r>
      <w:r>
        <w:rPr/>
        <w:br/>
        <w:t>Tovecimig is an investigational DLL4 x VEGF-A bispecific antibody designed to block two angiogenic pathways simultaneously, representing a first-in-class approach to disrupting tumor angiogenesis. In COMPANION-002, tovecimig was evaluated in combination with paclitaxel in patients with previously treated, advanced biliary tract cancer. Tovecimig has received Fast Track and Orphan Drug Designation from the U.S. Food and Drug Administration.</w:t>
      </w:r>
    </w:p>
    <w:p>
      <w:pPr>
        <w:pStyle w:val="TextBody"/>
        <w:bidi w:val="0"/>
        <w:spacing w:before="0" w:after="283"/>
        <w:jc w:val="left"/>
        <w:rPr/>
      </w:pPr>
      <w:r>
        <w:rPr>
          <w:rStyle w:val="StrongEmphasis"/>
        </w:rPr>
        <w:t>About Compass Therapeutics</w:t>
      </w:r>
      <w:r>
        <w:rPr/>
        <w:br/>
        <w:t>Compass Therapeutics is a clinical-stage, oncology-focused biopharmaceutical company dedicated to transforming the standard of care for patients with cancer through the discovery and development of innovative antibody-based therapeutics. The company leverages deep expertise in tumor biology and proprietary antibody engineering technologies to develop differentiated therapies that target the intersection of angiogenesis, immune activation, and tumor-driven immunosuppression. Compass has a robust pipeline of novel product candidates designed to address significant unmet needs and improve outcomes for patients with cancer. The Company was founded in 2014 and is headquartered in Boston, Massachusetts. For more information, visit the Compass Therapeutics website at https://www.compasstherapeutics.com</w:t>
      </w:r>
    </w:p>
    <w:p>
      <w:pPr>
        <w:pStyle w:val="TextBody"/>
        <w:bidi w:val="0"/>
        <w:spacing w:before="0" w:after="283"/>
        <w:jc w:val="left"/>
        <w:rPr/>
      </w:pPr>
      <w:r>
        <w:rPr>
          <w:rStyle w:val="StrongEmphasis"/>
        </w:rPr>
        <w:t>Forward-Looking Statements</w:t>
      </w:r>
      <w:r>
        <w:rPr/>
        <w:br/>
      </w:r>
      <w:r>
        <w:rPr>
          <w:rStyle w:val="Emphasis"/>
        </w:rPr>
        <w:t>This press release contains forward-looking statements. Statements in this press release that are not purely historical are forward-looking statements. Such forward-looking statements include, among other things, references to Compass’s financial position to continue advancing its product candidates, expectations about cash runway, business and development plans, and statements regarding tovecimig, the results of the COMPANION-002 study, and the associated regulatory feedback, plans, and timelines, and the therapeutic potential thereof. Actual results could differ from those projected in any forward-looking statements due to numerous factors.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press release,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www.sec.gov, including without limitation Compass’s latest Annual Report on Form 10-K, Quarterly Report on Form 10-Q and subsequent filings with the SEC.</w:t>
      </w:r>
    </w:p>
    <w:p>
      <w:pPr>
        <w:pStyle w:val="TextBody"/>
        <w:bidi w:val="0"/>
        <w:spacing w:before="0" w:after="283"/>
        <w:jc w:val="left"/>
        <w:rPr/>
      </w:pPr>
      <w:r>
        <w:rPr>
          <w:rStyle w:val="StrongEmphasis"/>
        </w:rPr>
        <w:t>Investor Contact</w:t>
      </w:r>
      <w:r>
        <w:rPr/>
        <w:br/>
        <w:t>ir@compasstherapeutics.com</w:t>
      </w:r>
    </w:p>
    <w:p>
      <w:pPr>
        <w:pStyle w:val="TextBody"/>
        <w:bidi w:val="0"/>
        <w:spacing w:before="0" w:after="283"/>
        <w:jc w:val="left"/>
        <w:rPr/>
      </w:pPr>
      <w:r>
        <w:rPr>
          <w:rStyle w:val="StrongEmphasis"/>
        </w:rPr>
        <w:t xml:space="preserve">Media Contact </w:t>
      </w:r>
      <w:r>
        <w:rPr/>
        <w:br/>
        <w:t xml:space="preserve">Anna Gifford, Chief of Staff </w:t>
        <w:br/>
        <w:t>media@compasstherapeutics.com</w:t>
        <w:br/>
        <w:t>617-500-8099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1662</Words>
  <Characters>10030</Characters>
  <CharactersWithSpaces>11653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