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Compass Therapeutics,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Vivo Opportunity Fund Holdings, 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7,207,573.00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7,207,573.00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7,207,573.00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4.0 %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The number represents shares of common stock, par value $0.0001 per share (the "Common Stock") of Compass Therapeutics, Inc. (the "Issuer") held of record by Vivo Opportunity Fund Holdings, L.P. Vivo Opportunity, LLC is the general partner of Vivo Opportunity Fund Holdings, L.P. The percentage of class is based on 180,087,915 shares of Common Stock outstanding, as of July 28, 2026, as reported in the Issuer's Quarterly Report on Form 10-Q filed with the Securities and Exchange Commission ("SEC") on August 6,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Vivo Opportunity,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7,207,573.00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7,207,573.00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7,207,573.00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4.0 %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The number represents shares of Common Stock of the Issuer held of record by Vivo Opportunity Fund Holdings, L.P. Vivo Opportunity, LLC is the general partner of Vivo Opportunity Fund Holdings, L.P. The percentage of class is based on 180,087,915 shares of Common Stock outstanding, as of July 28, 2026, as reported in the Issuer's Quarterly Report on Form 10-Q filed with the SEC on August 6,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042"/>
        <w:gridCol w:w="8163"/>
      </w:tblGrid>
      <w:tr>
        <w:trPr/>
        <w:tc>
          <w:tcPr>
            <w:tcW w:w="2042" w:type="dxa"/>
            <w:tcBorders/>
            <w:vAlign w:val="center"/>
          </w:tcPr>
          <w:p>
            <w:pPr>
              <w:pStyle w:val="TableContents"/>
              <w:bidi w:val="0"/>
              <w:spacing w:before="0" w:after="283"/>
              <w:jc w:val="left"/>
              <w:rPr/>
            </w:pPr>
            <w:r>
              <w:rPr/>
              <w:t>1</w:t>
            </w:r>
          </w:p>
        </w:tc>
        <w:tc>
          <w:tcPr>
            <w:tcW w:w="816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Vivo Opportunity Cayman Fund, L.P.</w:t>
            </w:r>
          </w:p>
        </w:tc>
      </w:tr>
      <w:tr>
        <w:trPr/>
        <w:tc>
          <w:tcPr>
            <w:tcW w:w="2042" w:type="dxa"/>
            <w:tcBorders/>
            <w:vAlign w:val="center"/>
          </w:tcPr>
          <w:p>
            <w:pPr>
              <w:pStyle w:val="TableContents"/>
              <w:bidi w:val="0"/>
              <w:spacing w:before="0" w:after="283"/>
              <w:jc w:val="left"/>
              <w:rPr/>
            </w:pPr>
            <w:r>
              <w:rPr/>
              <w:t>2</w:t>
            </w:r>
          </w:p>
        </w:tc>
        <w:tc>
          <w:tcPr>
            <w:tcW w:w="816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042" w:type="dxa"/>
            <w:tcBorders/>
            <w:vAlign w:val="center"/>
          </w:tcPr>
          <w:p>
            <w:pPr>
              <w:pStyle w:val="TableContents"/>
              <w:bidi w:val="0"/>
              <w:spacing w:before="0" w:after="283"/>
              <w:jc w:val="left"/>
              <w:rPr/>
            </w:pPr>
            <w:r>
              <w:rPr/>
              <w:t>3</w:t>
            </w:r>
          </w:p>
        </w:tc>
        <w:tc>
          <w:tcPr>
            <w:tcW w:w="8163" w:type="dxa"/>
            <w:tcBorders/>
            <w:vAlign w:val="center"/>
          </w:tcPr>
          <w:p>
            <w:pPr>
              <w:pStyle w:val="TableContents"/>
              <w:bidi w:val="0"/>
              <w:spacing w:before="0" w:after="283"/>
              <w:jc w:val="left"/>
              <w:rPr/>
            </w:pPr>
            <w:r>
              <w:rPr/>
              <w:t>Sec Use Only</w:t>
            </w:r>
          </w:p>
        </w:tc>
      </w:tr>
      <w:tr>
        <w:trPr/>
        <w:tc>
          <w:tcPr>
            <w:tcW w:w="2042" w:type="dxa"/>
            <w:tcBorders/>
            <w:vAlign w:val="center"/>
          </w:tcPr>
          <w:p>
            <w:pPr>
              <w:pStyle w:val="TableContents"/>
              <w:bidi w:val="0"/>
              <w:spacing w:before="0" w:after="283"/>
              <w:jc w:val="left"/>
              <w:rPr/>
            </w:pPr>
            <w:r>
              <w:rPr/>
              <w:t>4</w:t>
            </w:r>
          </w:p>
        </w:tc>
        <w:tc>
          <w:tcPr>
            <w:tcW w:w="816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04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549,487.00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549,487.00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63" w:type="dxa"/>
            <w:tcBorders/>
            <w:vAlign w:val="center"/>
          </w:tcPr>
          <w:p>
            <w:pPr>
              <w:pStyle w:val="TableContents"/>
              <w:bidi w:val="0"/>
              <w:spacing w:before="0" w:after="283"/>
              <w:jc w:val="left"/>
              <w:rPr>
                <w:sz w:val="4"/>
                <w:szCs w:val="4"/>
              </w:rPr>
            </w:pPr>
            <w:r>
              <w:rPr>
                <w:sz w:val="4"/>
                <w:szCs w:val="4"/>
              </w:rPr>
            </w:r>
          </w:p>
        </w:tc>
      </w:tr>
      <w:tr>
        <w:trPr/>
        <w:tc>
          <w:tcPr>
            <w:tcW w:w="2042" w:type="dxa"/>
            <w:tcBorders/>
            <w:vAlign w:val="center"/>
          </w:tcPr>
          <w:p>
            <w:pPr>
              <w:pStyle w:val="TableContents"/>
              <w:bidi w:val="0"/>
              <w:spacing w:before="0" w:after="283"/>
              <w:jc w:val="left"/>
              <w:rPr/>
            </w:pPr>
            <w:r>
              <w:rPr/>
              <w:t>9</w:t>
            </w:r>
          </w:p>
        </w:tc>
        <w:tc>
          <w:tcPr>
            <w:tcW w:w="816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549,487.00</w:t>
            </w:r>
          </w:p>
        </w:tc>
      </w:tr>
      <w:tr>
        <w:trPr/>
        <w:tc>
          <w:tcPr>
            <w:tcW w:w="2042" w:type="dxa"/>
            <w:tcBorders/>
            <w:vAlign w:val="center"/>
          </w:tcPr>
          <w:p>
            <w:pPr>
              <w:pStyle w:val="TableContents"/>
              <w:bidi w:val="0"/>
              <w:spacing w:before="0" w:after="283"/>
              <w:jc w:val="left"/>
              <w:rPr/>
            </w:pPr>
            <w:r>
              <w:rPr/>
              <w:t>10</w:t>
            </w:r>
          </w:p>
        </w:tc>
        <w:tc>
          <w:tcPr>
            <w:tcW w:w="816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042" w:type="dxa"/>
            <w:tcBorders/>
            <w:vAlign w:val="center"/>
          </w:tcPr>
          <w:p>
            <w:pPr>
              <w:pStyle w:val="TableContents"/>
              <w:bidi w:val="0"/>
              <w:spacing w:before="0" w:after="283"/>
              <w:jc w:val="left"/>
              <w:rPr/>
            </w:pPr>
            <w:r>
              <w:rPr/>
              <w:t>11</w:t>
            </w:r>
          </w:p>
        </w:tc>
        <w:tc>
          <w:tcPr>
            <w:tcW w:w="816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0.3 % </w:t>
            </w:r>
          </w:p>
        </w:tc>
      </w:tr>
      <w:tr>
        <w:trPr/>
        <w:tc>
          <w:tcPr>
            <w:tcW w:w="2042" w:type="dxa"/>
            <w:tcBorders/>
            <w:vAlign w:val="center"/>
          </w:tcPr>
          <w:p>
            <w:pPr>
              <w:pStyle w:val="TableContents"/>
              <w:bidi w:val="0"/>
              <w:spacing w:before="0" w:after="283"/>
              <w:jc w:val="left"/>
              <w:rPr/>
            </w:pPr>
            <w:r>
              <w:rPr/>
              <w:t>12</w:t>
            </w:r>
          </w:p>
        </w:tc>
        <w:tc>
          <w:tcPr>
            <w:tcW w:w="816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The number represents shares of Common Stock of the Issuer held of record by Vivo Opportunity Cayman Fund, L.P. Vivo Opportunity Cayman, LLC is the general partner of Vivo Opportunity Cayman Fund, L.P. The percentage of class is based on 180,087,915 shares of Common Stock outstanding, as of July 28, 2026, as reported in the Issuer's Quarterly Report on Form 10-Q filed with the SEC on August 6,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042"/>
        <w:gridCol w:w="8163"/>
      </w:tblGrid>
      <w:tr>
        <w:trPr/>
        <w:tc>
          <w:tcPr>
            <w:tcW w:w="2042" w:type="dxa"/>
            <w:tcBorders/>
            <w:vAlign w:val="center"/>
          </w:tcPr>
          <w:p>
            <w:pPr>
              <w:pStyle w:val="TableContents"/>
              <w:bidi w:val="0"/>
              <w:spacing w:before="0" w:after="283"/>
              <w:jc w:val="left"/>
              <w:rPr/>
            </w:pPr>
            <w:r>
              <w:rPr/>
              <w:t>1</w:t>
            </w:r>
          </w:p>
        </w:tc>
        <w:tc>
          <w:tcPr>
            <w:tcW w:w="816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Vivo Opportunity Cayman, LLC</w:t>
            </w:r>
          </w:p>
        </w:tc>
      </w:tr>
      <w:tr>
        <w:trPr/>
        <w:tc>
          <w:tcPr>
            <w:tcW w:w="2042" w:type="dxa"/>
            <w:tcBorders/>
            <w:vAlign w:val="center"/>
          </w:tcPr>
          <w:p>
            <w:pPr>
              <w:pStyle w:val="TableContents"/>
              <w:bidi w:val="0"/>
              <w:spacing w:before="0" w:after="283"/>
              <w:jc w:val="left"/>
              <w:rPr/>
            </w:pPr>
            <w:r>
              <w:rPr/>
              <w:t>2</w:t>
            </w:r>
          </w:p>
        </w:tc>
        <w:tc>
          <w:tcPr>
            <w:tcW w:w="816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042" w:type="dxa"/>
            <w:tcBorders/>
            <w:vAlign w:val="center"/>
          </w:tcPr>
          <w:p>
            <w:pPr>
              <w:pStyle w:val="TableContents"/>
              <w:bidi w:val="0"/>
              <w:spacing w:before="0" w:after="283"/>
              <w:jc w:val="left"/>
              <w:rPr/>
            </w:pPr>
            <w:r>
              <w:rPr/>
              <w:t>3</w:t>
            </w:r>
          </w:p>
        </w:tc>
        <w:tc>
          <w:tcPr>
            <w:tcW w:w="8163" w:type="dxa"/>
            <w:tcBorders/>
            <w:vAlign w:val="center"/>
          </w:tcPr>
          <w:p>
            <w:pPr>
              <w:pStyle w:val="TableContents"/>
              <w:bidi w:val="0"/>
              <w:spacing w:before="0" w:after="283"/>
              <w:jc w:val="left"/>
              <w:rPr/>
            </w:pPr>
            <w:r>
              <w:rPr/>
              <w:t>Sec Use Only</w:t>
            </w:r>
          </w:p>
        </w:tc>
      </w:tr>
      <w:tr>
        <w:trPr/>
        <w:tc>
          <w:tcPr>
            <w:tcW w:w="2042" w:type="dxa"/>
            <w:tcBorders/>
            <w:vAlign w:val="center"/>
          </w:tcPr>
          <w:p>
            <w:pPr>
              <w:pStyle w:val="TableContents"/>
              <w:bidi w:val="0"/>
              <w:spacing w:before="0" w:after="283"/>
              <w:jc w:val="left"/>
              <w:rPr/>
            </w:pPr>
            <w:r>
              <w:rPr/>
              <w:t>4</w:t>
            </w:r>
          </w:p>
        </w:tc>
        <w:tc>
          <w:tcPr>
            <w:tcW w:w="816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04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549,487.00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549,487.00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63" w:type="dxa"/>
            <w:tcBorders/>
            <w:vAlign w:val="center"/>
          </w:tcPr>
          <w:p>
            <w:pPr>
              <w:pStyle w:val="TableContents"/>
              <w:bidi w:val="0"/>
              <w:spacing w:before="0" w:after="283"/>
              <w:jc w:val="left"/>
              <w:rPr>
                <w:sz w:val="4"/>
                <w:szCs w:val="4"/>
              </w:rPr>
            </w:pPr>
            <w:r>
              <w:rPr>
                <w:sz w:val="4"/>
                <w:szCs w:val="4"/>
              </w:rPr>
            </w:r>
          </w:p>
        </w:tc>
      </w:tr>
      <w:tr>
        <w:trPr/>
        <w:tc>
          <w:tcPr>
            <w:tcW w:w="2042" w:type="dxa"/>
            <w:tcBorders/>
            <w:vAlign w:val="center"/>
          </w:tcPr>
          <w:p>
            <w:pPr>
              <w:pStyle w:val="TableContents"/>
              <w:bidi w:val="0"/>
              <w:spacing w:before="0" w:after="283"/>
              <w:jc w:val="left"/>
              <w:rPr/>
            </w:pPr>
            <w:r>
              <w:rPr/>
              <w:t>9</w:t>
            </w:r>
          </w:p>
        </w:tc>
        <w:tc>
          <w:tcPr>
            <w:tcW w:w="816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549,487.00</w:t>
            </w:r>
          </w:p>
        </w:tc>
      </w:tr>
      <w:tr>
        <w:trPr/>
        <w:tc>
          <w:tcPr>
            <w:tcW w:w="2042" w:type="dxa"/>
            <w:tcBorders/>
            <w:vAlign w:val="center"/>
          </w:tcPr>
          <w:p>
            <w:pPr>
              <w:pStyle w:val="TableContents"/>
              <w:bidi w:val="0"/>
              <w:spacing w:before="0" w:after="283"/>
              <w:jc w:val="left"/>
              <w:rPr/>
            </w:pPr>
            <w:r>
              <w:rPr/>
              <w:t>10</w:t>
            </w:r>
          </w:p>
        </w:tc>
        <w:tc>
          <w:tcPr>
            <w:tcW w:w="816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042" w:type="dxa"/>
            <w:tcBorders/>
            <w:vAlign w:val="center"/>
          </w:tcPr>
          <w:p>
            <w:pPr>
              <w:pStyle w:val="TableContents"/>
              <w:bidi w:val="0"/>
              <w:spacing w:before="0" w:after="283"/>
              <w:jc w:val="left"/>
              <w:rPr/>
            </w:pPr>
            <w:r>
              <w:rPr/>
              <w:t>11</w:t>
            </w:r>
          </w:p>
        </w:tc>
        <w:tc>
          <w:tcPr>
            <w:tcW w:w="816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0.3 % </w:t>
            </w:r>
          </w:p>
        </w:tc>
      </w:tr>
      <w:tr>
        <w:trPr/>
        <w:tc>
          <w:tcPr>
            <w:tcW w:w="2042" w:type="dxa"/>
            <w:tcBorders/>
            <w:vAlign w:val="center"/>
          </w:tcPr>
          <w:p>
            <w:pPr>
              <w:pStyle w:val="TableContents"/>
              <w:bidi w:val="0"/>
              <w:spacing w:before="0" w:after="283"/>
              <w:jc w:val="left"/>
              <w:rPr/>
            </w:pPr>
            <w:r>
              <w:rPr/>
              <w:t>12</w:t>
            </w:r>
          </w:p>
        </w:tc>
        <w:tc>
          <w:tcPr>
            <w:tcW w:w="816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The number represents shares of Common Stock of the Issuer held of record by Vivo Opportunity Cayman Fund, L.P. Vivo Opportunity Cayman, LLC is the general partner of Vivo Opportunity Cayman Fund, L.P. The percentage of class is based on 180,087,915 shares of Common Stock outstanding, as of July 28, 2026, as reported in the Issuer's Quarterly Report on Form 10-Q filed with the SEC on August 6,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item1to9"/>
      <w:bookmarkStart w:id="23" w:name="item1to9"/>
      <w:bookmarkEnd w:id="23"/>
    </w:p>
    <w:tbl>
      <w:tblPr>
        <w:tblW w:w="10205" w:type="dxa"/>
        <w:jc w:val="left"/>
        <w:tblInd w:w="0" w:type="dxa"/>
        <w:tblLayout w:type="fixed"/>
        <w:tblCellMar>
          <w:top w:w="28" w:type="dxa"/>
          <w:left w:w="28" w:type="dxa"/>
          <w:bottom w:w="28" w:type="dxa"/>
          <w:right w:w="28" w:type="dxa"/>
        </w:tblCellMar>
      </w:tblPr>
      <w:tblGrid>
        <w:gridCol w:w="1118"/>
        <w:gridCol w:w="8932"/>
        <w:gridCol w:w="155"/>
      </w:tblGrid>
      <w:tr>
        <w:trPr/>
        <w:tc>
          <w:tcPr>
            <w:tcW w:w="1118" w:type="dxa"/>
            <w:tcBorders/>
            <w:vAlign w:val="center"/>
          </w:tcPr>
          <w:p>
            <w:pPr>
              <w:pStyle w:val="TableContents"/>
              <w:bidi w:val="0"/>
              <w:spacing w:before="0" w:after="283"/>
              <w:jc w:val="left"/>
              <w:rPr/>
            </w:pPr>
            <w:r>
              <w:rPr/>
              <w:t>Item 1.</w:t>
            </w:r>
          </w:p>
        </w:tc>
        <w:tc>
          <w:tcPr>
            <w:tcW w:w="8932"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18" w:type="dxa"/>
            <w:tcBorders/>
            <w:vAlign w:val="center"/>
          </w:tcPr>
          <w:p>
            <w:pPr>
              <w:pStyle w:val="TableContents"/>
              <w:bidi w:val="0"/>
              <w:spacing w:before="0" w:after="283"/>
              <w:jc w:val="left"/>
              <w:rPr/>
            </w:pPr>
            <w:r>
              <w:rPr/>
              <w:t>(a)</w:t>
            </w:r>
          </w:p>
        </w:tc>
        <w:tc>
          <w:tcPr>
            <w:tcW w:w="8932" w:type="dxa"/>
            <w:tcBorders/>
            <w:vAlign w:val="center"/>
          </w:tcPr>
          <w:p>
            <w:pPr>
              <w:pStyle w:val="TableContents"/>
              <w:bidi w:val="0"/>
              <w:jc w:val="left"/>
              <w:rPr/>
            </w:pPr>
            <w:r>
              <w:rPr/>
              <w:t xml:space="preserve">Name of issuer: </w:t>
            </w:r>
          </w:p>
          <w:p>
            <w:pPr>
              <w:pStyle w:val="TableContents"/>
              <w:bidi w:val="0"/>
              <w:spacing w:before="0" w:after="0"/>
              <w:jc w:val="left"/>
              <w:rPr/>
            </w:pPr>
            <w:r>
              <w:rPr/>
              <w:t>Compass Therapeutics, Inc.</w:t>
            </w:r>
          </w:p>
        </w:tc>
        <w:tc>
          <w:tcPr>
            <w:tcW w:w="155" w:type="dxa"/>
            <w:tcBorders/>
          </w:tcPr>
          <w:p>
            <w:pPr>
              <w:pStyle w:val="TableContents"/>
              <w:bidi w:val="0"/>
              <w:spacing w:before="0" w:after="283"/>
              <w:jc w:val="left"/>
              <w:rPr>
                <w:sz w:val="4"/>
                <w:szCs w:val="4"/>
              </w:rPr>
            </w:pPr>
            <w:r>
              <w:rPr>
                <w:sz w:val="4"/>
                <w:szCs w:val="4"/>
              </w:rPr>
            </w:r>
          </w:p>
        </w:tc>
      </w:tr>
      <w:tr>
        <w:trPr/>
        <w:tc>
          <w:tcPr>
            <w:tcW w:w="1118" w:type="dxa"/>
            <w:tcBorders/>
            <w:vAlign w:val="center"/>
          </w:tcPr>
          <w:p>
            <w:pPr>
              <w:pStyle w:val="TableContents"/>
              <w:bidi w:val="0"/>
              <w:spacing w:before="0" w:after="283"/>
              <w:jc w:val="left"/>
              <w:rPr/>
            </w:pPr>
            <w:r>
              <w:rPr/>
              <w:t>(b)</w:t>
            </w:r>
          </w:p>
        </w:tc>
        <w:tc>
          <w:tcPr>
            <w:tcW w:w="8932"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80 Guest St., Suite 601, Boston, Massachusetts, 02135</w:t>
            </w:r>
          </w:p>
        </w:tc>
        <w:tc>
          <w:tcPr>
            <w:tcW w:w="155" w:type="dxa"/>
            <w:tcBorders/>
          </w:tcPr>
          <w:p>
            <w:pPr>
              <w:pStyle w:val="TableContents"/>
              <w:bidi w:val="0"/>
              <w:spacing w:before="0" w:after="283"/>
              <w:jc w:val="left"/>
              <w:rPr>
                <w:sz w:val="4"/>
                <w:szCs w:val="4"/>
              </w:rPr>
            </w:pPr>
            <w:r>
              <w:rPr>
                <w:sz w:val="4"/>
                <w:szCs w:val="4"/>
              </w:rPr>
            </w:r>
          </w:p>
        </w:tc>
      </w:tr>
      <w:tr>
        <w:trPr/>
        <w:tc>
          <w:tcPr>
            <w:tcW w:w="1118" w:type="dxa"/>
            <w:tcBorders/>
            <w:vAlign w:val="center"/>
          </w:tcPr>
          <w:p>
            <w:pPr>
              <w:pStyle w:val="TableContents"/>
              <w:bidi w:val="0"/>
              <w:spacing w:before="0" w:after="283"/>
              <w:jc w:val="left"/>
              <w:rPr/>
            </w:pPr>
            <w:r>
              <w:rPr/>
              <w:t>Item 2.</w:t>
            </w:r>
          </w:p>
        </w:tc>
        <w:tc>
          <w:tcPr>
            <w:tcW w:w="8932"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18" w:type="dxa"/>
            <w:tcBorders/>
            <w:vAlign w:val="center"/>
          </w:tcPr>
          <w:p>
            <w:pPr>
              <w:pStyle w:val="TableContents"/>
              <w:bidi w:val="0"/>
              <w:spacing w:before="0" w:after="283"/>
              <w:jc w:val="left"/>
              <w:rPr/>
            </w:pPr>
            <w:r>
              <w:rPr/>
              <w:t>(a)</w:t>
            </w:r>
          </w:p>
        </w:tc>
        <w:tc>
          <w:tcPr>
            <w:tcW w:w="8932" w:type="dxa"/>
            <w:tcBorders/>
            <w:vAlign w:val="center"/>
          </w:tcPr>
          <w:p>
            <w:pPr>
              <w:pStyle w:val="TableContents"/>
              <w:bidi w:val="0"/>
              <w:jc w:val="left"/>
              <w:rPr/>
            </w:pPr>
            <w:r>
              <w:rPr/>
              <w:t xml:space="preserve">Name of person filing: </w:t>
            </w:r>
          </w:p>
          <w:p>
            <w:pPr>
              <w:pStyle w:val="TableContents"/>
              <w:bidi w:val="0"/>
              <w:spacing w:before="0" w:after="0"/>
              <w:jc w:val="left"/>
              <w:rPr/>
            </w:pPr>
            <w:r>
              <w:rPr/>
              <w:t>Vivo Opportunity Fund Holdings, L.P. and its General Partner Vivo Opportunity, LLC Vivo Opportunity Cayman Fund, L.P. and its General Partner Vivo Opportunity Cayman, LLC</w:t>
            </w:r>
          </w:p>
        </w:tc>
        <w:tc>
          <w:tcPr>
            <w:tcW w:w="155" w:type="dxa"/>
            <w:tcBorders/>
          </w:tcPr>
          <w:p>
            <w:pPr>
              <w:pStyle w:val="TableContents"/>
              <w:bidi w:val="0"/>
              <w:spacing w:before="0" w:after="283"/>
              <w:jc w:val="left"/>
              <w:rPr>
                <w:sz w:val="4"/>
                <w:szCs w:val="4"/>
              </w:rPr>
            </w:pPr>
            <w:r>
              <w:rPr>
                <w:sz w:val="4"/>
                <w:szCs w:val="4"/>
              </w:rPr>
            </w:r>
          </w:p>
        </w:tc>
      </w:tr>
      <w:tr>
        <w:trPr/>
        <w:tc>
          <w:tcPr>
            <w:tcW w:w="1118" w:type="dxa"/>
            <w:tcBorders/>
            <w:vAlign w:val="center"/>
          </w:tcPr>
          <w:p>
            <w:pPr>
              <w:pStyle w:val="TableContents"/>
              <w:bidi w:val="0"/>
              <w:spacing w:before="0" w:after="283"/>
              <w:jc w:val="left"/>
              <w:rPr/>
            </w:pPr>
            <w:r>
              <w:rPr/>
              <w:t>(b)</w:t>
            </w:r>
          </w:p>
        </w:tc>
        <w:tc>
          <w:tcPr>
            <w:tcW w:w="8932"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192 Lytton Avenue, Palo Alto, CA 94301</w:t>
            </w:r>
          </w:p>
        </w:tc>
        <w:tc>
          <w:tcPr>
            <w:tcW w:w="155" w:type="dxa"/>
            <w:tcBorders/>
          </w:tcPr>
          <w:p>
            <w:pPr>
              <w:pStyle w:val="TableContents"/>
              <w:bidi w:val="0"/>
              <w:spacing w:before="0" w:after="283"/>
              <w:jc w:val="left"/>
              <w:rPr>
                <w:sz w:val="4"/>
                <w:szCs w:val="4"/>
              </w:rPr>
            </w:pPr>
            <w:r>
              <w:rPr>
                <w:sz w:val="4"/>
                <w:szCs w:val="4"/>
              </w:rPr>
            </w:r>
          </w:p>
        </w:tc>
      </w:tr>
      <w:tr>
        <w:trPr/>
        <w:tc>
          <w:tcPr>
            <w:tcW w:w="1118" w:type="dxa"/>
            <w:tcBorders/>
            <w:vAlign w:val="center"/>
          </w:tcPr>
          <w:p>
            <w:pPr>
              <w:pStyle w:val="TableContents"/>
              <w:bidi w:val="0"/>
              <w:spacing w:before="0" w:after="283"/>
              <w:jc w:val="left"/>
              <w:rPr/>
            </w:pPr>
            <w:r>
              <w:rPr/>
              <w:t>(c)</w:t>
            </w:r>
          </w:p>
        </w:tc>
        <w:tc>
          <w:tcPr>
            <w:tcW w:w="8932" w:type="dxa"/>
            <w:tcBorders/>
            <w:vAlign w:val="center"/>
          </w:tcPr>
          <w:p>
            <w:pPr>
              <w:pStyle w:val="TableContents"/>
              <w:bidi w:val="0"/>
              <w:jc w:val="left"/>
              <w:rPr/>
            </w:pPr>
            <w:r>
              <w:rPr/>
              <w:t xml:space="preserve">Citizenship: </w:t>
            </w:r>
          </w:p>
          <w:p>
            <w:pPr>
              <w:pStyle w:val="TableContents"/>
              <w:bidi w:val="0"/>
              <w:spacing w:before="0" w:after="0"/>
              <w:jc w:val="left"/>
              <w:rPr/>
            </w:pPr>
            <w:r>
              <w:rPr/>
              <w:t>Vivo Opportunity Fund Holdings, L.P. is a Delaware limited partnership. Vivo Opportunity, LLC is a Delaware limited liability company. Vivo Opportunity Cayman Fund, L.P. is a Cayman Islands limited partnership. Vivo Opportunity Cayman, LLC is a Cayman Islands limited liability company.</w:t>
            </w:r>
          </w:p>
        </w:tc>
        <w:tc>
          <w:tcPr>
            <w:tcW w:w="155" w:type="dxa"/>
            <w:tcBorders/>
          </w:tcPr>
          <w:p>
            <w:pPr>
              <w:pStyle w:val="TableContents"/>
              <w:bidi w:val="0"/>
              <w:spacing w:before="0" w:after="283"/>
              <w:jc w:val="left"/>
              <w:rPr>
                <w:sz w:val="4"/>
                <w:szCs w:val="4"/>
              </w:rPr>
            </w:pPr>
            <w:r>
              <w:rPr>
                <w:sz w:val="4"/>
                <w:szCs w:val="4"/>
              </w:rPr>
            </w:r>
          </w:p>
        </w:tc>
      </w:tr>
      <w:tr>
        <w:trPr/>
        <w:tc>
          <w:tcPr>
            <w:tcW w:w="1118" w:type="dxa"/>
            <w:tcBorders/>
            <w:vAlign w:val="center"/>
          </w:tcPr>
          <w:p>
            <w:pPr>
              <w:pStyle w:val="TableContents"/>
              <w:bidi w:val="0"/>
              <w:spacing w:before="0" w:after="283"/>
              <w:jc w:val="left"/>
              <w:rPr/>
            </w:pPr>
            <w:r>
              <w:rPr/>
              <w:t>(d)</w:t>
            </w:r>
          </w:p>
        </w:tc>
        <w:tc>
          <w:tcPr>
            <w:tcW w:w="8932"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$0.0001 per share</w:t>
            </w:r>
          </w:p>
        </w:tc>
        <w:tc>
          <w:tcPr>
            <w:tcW w:w="155" w:type="dxa"/>
            <w:tcBorders/>
          </w:tcPr>
          <w:p>
            <w:pPr>
              <w:pStyle w:val="TableContents"/>
              <w:bidi w:val="0"/>
              <w:spacing w:before="0" w:after="283"/>
              <w:jc w:val="left"/>
              <w:rPr>
                <w:sz w:val="4"/>
                <w:szCs w:val="4"/>
              </w:rPr>
            </w:pPr>
            <w:r>
              <w:rPr>
                <w:sz w:val="4"/>
                <w:szCs w:val="4"/>
              </w:rPr>
            </w:r>
          </w:p>
        </w:tc>
      </w:tr>
      <w:tr>
        <w:trPr/>
        <w:tc>
          <w:tcPr>
            <w:tcW w:w="1118" w:type="dxa"/>
            <w:tcBorders/>
            <w:vAlign w:val="center"/>
          </w:tcPr>
          <w:p>
            <w:pPr>
              <w:pStyle w:val="TableContents"/>
              <w:bidi w:val="0"/>
              <w:spacing w:before="0" w:after="283"/>
              <w:jc w:val="left"/>
              <w:rPr/>
            </w:pPr>
            <w:r>
              <w:rPr/>
              <w:t>(e)</w:t>
            </w:r>
          </w:p>
        </w:tc>
        <w:tc>
          <w:tcPr>
            <w:tcW w:w="8932"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18" w:type="dxa"/>
            <w:tcBorders/>
            <w:vAlign w:val="center"/>
          </w:tcPr>
          <w:p>
            <w:pPr>
              <w:pStyle w:val="TableContents"/>
              <w:bidi w:val="0"/>
              <w:spacing w:before="0" w:after="283"/>
              <w:jc w:val="left"/>
              <w:rPr/>
            </w:pPr>
            <w:r>
              <w:rPr/>
              <w:t>Item 3.</w:t>
            </w:r>
          </w:p>
        </w:tc>
        <w:tc>
          <w:tcPr>
            <w:tcW w:w="8932"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18" w:type="dxa"/>
            <w:tcBorders/>
            <w:vAlign w:val="center"/>
          </w:tcPr>
          <w:p>
            <w:pPr>
              <w:pStyle w:val="TableContents"/>
              <w:bidi w:val="0"/>
              <w:spacing w:before="0" w:after="283"/>
              <w:jc w:val="left"/>
              <w:rPr/>
            </w:pPr>
            <w:r>
              <w:rPr/>
              <w:t>(a)</w:t>
            </w:r>
          </w:p>
        </w:tc>
        <w:tc>
          <w:tcPr>
            <w:tcW w:w="8932"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18" w:type="dxa"/>
            <w:tcBorders/>
            <w:vAlign w:val="center"/>
          </w:tcPr>
          <w:p>
            <w:pPr>
              <w:pStyle w:val="TableContents"/>
              <w:bidi w:val="0"/>
              <w:spacing w:before="0" w:after="283"/>
              <w:jc w:val="left"/>
              <w:rPr/>
            </w:pPr>
            <w:r>
              <w:rPr/>
              <w:t>(b)</w:t>
            </w:r>
          </w:p>
        </w:tc>
        <w:tc>
          <w:tcPr>
            <w:tcW w:w="8932"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18" w:type="dxa"/>
            <w:tcBorders/>
            <w:vAlign w:val="center"/>
          </w:tcPr>
          <w:p>
            <w:pPr>
              <w:pStyle w:val="TableContents"/>
              <w:bidi w:val="0"/>
              <w:spacing w:before="0" w:after="283"/>
              <w:jc w:val="left"/>
              <w:rPr/>
            </w:pPr>
            <w:r>
              <w:rPr/>
              <w:t>(c)</w:t>
            </w:r>
          </w:p>
        </w:tc>
        <w:tc>
          <w:tcPr>
            <w:tcW w:w="8932"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18" w:type="dxa"/>
            <w:tcBorders/>
            <w:vAlign w:val="center"/>
          </w:tcPr>
          <w:p>
            <w:pPr>
              <w:pStyle w:val="TableContents"/>
              <w:bidi w:val="0"/>
              <w:spacing w:before="0" w:after="283"/>
              <w:jc w:val="left"/>
              <w:rPr/>
            </w:pPr>
            <w:r>
              <w:rPr/>
              <w:t>(d)</w:t>
            </w:r>
          </w:p>
        </w:tc>
        <w:tc>
          <w:tcPr>
            <w:tcW w:w="8932"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18" w:type="dxa"/>
            <w:tcBorders/>
            <w:vAlign w:val="center"/>
          </w:tcPr>
          <w:p>
            <w:pPr>
              <w:pStyle w:val="TableContents"/>
              <w:bidi w:val="0"/>
              <w:spacing w:before="0" w:after="283"/>
              <w:jc w:val="left"/>
              <w:rPr/>
            </w:pPr>
            <w:r>
              <w:rPr/>
              <w:t>(e)</w:t>
            </w:r>
          </w:p>
        </w:tc>
        <w:tc>
          <w:tcPr>
            <w:tcW w:w="8932"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18" w:type="dxa"/>
            <w:tcBorders/>
            <w:vAlign w:val="center"/>
          </w:tcPr>
          <w:p>
            <w:pPr>
              <w:pStyle w:val="TableContents"/>
              <w:bidi w:val="0"/>
              <w:spacing w:before="0" w:after="283"/>
              <w:jc w:val="left"/>
              <w:rPr/>
            </w:pPr>
            <w:r>
              <w:rPr/>
              <w:t>(f)</w:t>
            </w:r>
          </w:p>
        </w:tc>
        <w:tc>
          <w:tcPr>
            <w:tcW w:w="8932"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18" w:type="dxa"/>
            <w:tcBorders/>
            <w:vAlign w:val="center"/>
          </w:tcPr>
          <w:p>
            <w:pPr>
              <w:pStyle w:val="TableContents"/>
              <w:bidi w:val="0"/>
              <w:spacing w:before="0" w:after="283"/>
              <w:jc w:val="left"/>
              <w:rPr/>
            </w:pPr>
            <w:r>
              <w:rPr/>
              <w:t>(g)</w:t>
            </w:r>
          </w:p>
        </w:tc>
        <w:tc>
          <w:tcPr>
            <w:tcW w:w="8932"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18" w:type="dxa"/>
            <w:tcBorders/>
            <w:vAlign w:val="center"/>
          </w:tcPr>
          <w:p>
            <w:pPr>
              <w:pStyle w:val="TableContents"/>
              <w:bidi w:val="0"/>
              <w:spacing w:before="0" w:after="283"/>
              <w:jc w:val="left"/>
              <w:rPr/>
            </w:pPr>
            <w:r>
              <w:rPr/>
              <w:t>(h)</w:t>
            </w:r>
          </w:p>
        </w:tc>
        <w:tc>
          <w:tcPr>
            <w:tcW w:w="8932"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18" w:type="dxa"/>
            <w:tcBorders/>
            <w:vAlign w:val="center"/>
          </w:tcPr>
          <w:p>
            <w:pPr>
              <w:pStyle w:val="TableContents"/>
              <w:bidi w:val="0"/>
              <w:spacing w:before="0" w:after="283"/>
              <w:jc w:val="left"/>
              <w:rPr/>
            </w:pPr>
            <w:r>
              <w:rPr/>
              <w:t>(i)</w:t>
            </w:r>
          </w:p>
        </w:tc>
        <w:tc>
          <w:tcPr>
            <w:tcW w:w="8932" w:type="dxa"/>
            <w:tcBorders/>
            <w:vAlign w:val="center"/>
          </w:tcPr>
          <w:p>
            <w:pPr>
              <w:pStyle w:val="TableContents"/>
              <w:bidi w:val="0"/>
              <w:spacing w:before="0" w:after="283"/>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18" w:type="dxa"/>
            <w:tcBorders/>
            <w:vAlign w:val="center"/>
          </w:tcPr>
          <w:p>
            <w:pPr>
              <w:pStyle w:val="TableContents"/>
              <w:bidi w:val="0"/>
              <w:spacing w:before="0" w:after="283"/>
              <w:jc w:val="left"/>
              <w:rPr/>
            </w:pPr>
            <w:r>
              <w:rPr/>
              <w:t>(j)</w:t>
            </w:r>
          </w:p>
        </w:tc>
        <w:tc>
          <w:tcPr>
            <w:tcW w:w="8932" w:type="dxa"/>
            <w:tcBorders/>
            <w:vAlign w:val="center"/>
          </w:tcPr>
          <w:p>
            <w:pPr>
              <w:pStyle w:val="TableContents"/>
              <w:bidi w:val="0"/>
              <w:spacing w:before="0" w:after="283"/>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18" w:type="dxa"/>
            <w:tcBorders/>
            <w:vAlign w:val="center"/>
          </w:tcPr>
          <w:p>
            <w:pPr>
              <w:pStyle w:val="TableContents"/>
              <w:bidi w:val="0"/>
              <w:spacing w:before="0" w:after="283"/>
              <w:jc w:val="left"/>
              <w:rPr/>
            </w:pPr>
            <w:r>
              <w:rPr/>
              <w:t>(k)</w:t>
            </w:r>
          </w:p>
        </w:tc>
        <w:tc>
          <w:tcPr>
            <w:tcW w:w="8932" w:type="dxa"/>
            <w:tcBorders/>
            <w:vAlign w:val="center"/>
          </w:tcPr>
          <w:p>
            <w:pPr>
              <w:pStyle w:val="TableContents"/>
              <w:bidi w:val="0"/>
              <w:spacing w:before="0" w:after="283"/>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18" w:type="dxa"/>
            <w:tcBorders/>
            <w:vAlign w:val="center"/>
          </w:tcPr>
          <w:p>
            <w:pPr>
              <w:pStyle w:val="TableContents"/>
              <w:bidi w:val="0"/>
              <w:spacing w:before="0" w:after="283"/>
              <w:jc w:val="left"/>
              <w:rPr/>
            </w:pPr>
            <w:r>
              <w:rPr/>
              <w:t> </w:t>
            </w:r>
          </w:p>
        </w:tc>
        <w:tc>
          <w:tcPr>
            <w:tcW w:w="9087" w:type="dxa"/>
            <w:gridSpan w:val="2"/>
            <w:tcBorders/>
            <w:vAlign w:val="center"/>
          </w:tcPr>
          <w:p>
            <w:pPr>
              <w:pStyle w:val="TableContents"/>
              <w:bidi w:val="0"/>
              <w:spacing w:before="0" w:after="283"/>
              <w:jc w:val="left"/>
              <w:rPr>
                <w:sz w:val="4"/>
                <w:szCs w:val="4"/>
              </w:rPr>
            </w:pPr>
            <w:r>
              <w:rPr>
                <w:sz w:val="4"/>
                <w:szCs w:val="4"/>
              </w:rPr>
            </w:r>
          </w:p>
        </w:tc>
      </w:tr>
      <w:tr>
        <w:trPr/>
        <w:tc>
          <w:tcPr>
            <w:tcW w:w="1118" w:type="dxa"/>
            <w:tcBorders/>
            <w:vAlign w:val="center"/>
          </w:tcPr>
          <w:p>
            <w:pPr>
              <w:pStyle w:val="TableContents"/>
              <w:bidi w:val="0"/>
              <w:spacing w:before="0" w:after="283"/>
              <w:jc w:val="left"/>
              <w:rPr/>
            </w:pPr>
            <w:r>
              <w:rPr/>
              <w:t>Item 4.</w:t>
            </w:r>
          </w:p>
        </w:tc>
        <w:tc>
          <w:tcPr>
            <w:tcW w:w="8932"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18" w:type="dxa"/>
            <w:tcBorders/>
            <w:vAlign w:val="center"/>
          </w:tcPr>
          <w:p>
            <w:pPr>
              <w:pStyle w:val="TableContents"/>
              <w:bidi w:val="0"/>
              <w:spacing w:before="0" w:after="283"/>
              <w:jc w:val="left"/>
              <w:rPr/>
            </w:pPr>
            <w:r>
              <w:rPr/>
              <w:t>(a)</w:t>
            </w:r>
          </w:p>
        </w:tc>
        <w:tc>
          <w:tcPr>
            <w:tcW w:w="8932"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Vivo Opportunity, LLC beneficially owns 7,207,573 shares of Common Stock. The securities are held of record by Vivo Opportunity Fund Holdings, L.P. Vivo Opportunity, LLC is the general partner of Vivo Opportunity Fund Holdings, L.P. Vivo Opportunity Cayman, LLC beneficially owns 549,487 shares of Common Stock. The securities are held of record by Vivo Opportunity Cayman Fund, L.P. Vivo Opportunity Cayman, LLC is the general partner of Vivo Opportunity Cayman Fund, L.P.</w:t>
            </w:r>
          </w:p>
        </w:tc>
        <w:tc>
          <w:tcPr>
            <w:tcW w:w="155" w:type="dxa"/>
            <w:tcBorders/>
          </w:tcPr>
          <w:p>
            <w:pPr>
              <w:pStyle w:val="TableContents"/>
              <w:bidi w:val="0"/>
              <w:spacing w:before="0" w:after="283"/>
              <w:jc w:val="left"/>
              <w:rPr>
                <w:sz w:val="4"/>
                <w:szCs w:val="4"/>
              </w:rPr>
            </w:pPr>
            <w:r>
              <w:rPr>
                <w:sz w:val="4"/>
                <w:szCs w:val="4"/>
              </w:rPr>
            </w:r>
          </w:p>
        </w:tc>
      </w:tr>
      <w:tr>
        <w:trPr/>
        <w:tc>
          <w:tcPr>
            <w:tcW w:w="1118" w:type="dxa"/>
            <w:tcBorders/>
            <w:vAlign w:val="center"/>
          </w:tcPr>
          <w:p>
            <w:pPr>
              <w:pStyle w:val="TableContents"/>
              <w:bidi w:val="0"/>
              <w:spacing w:before="0" w:after="283"/>
              <w:jc w:val="left"/>
              <w:rPr/>
            </w:pPr>
            <w:r>
              <w:rPr/>
              <w:t>(b)</w:t>
            </w:r>
          </w:p>
        </w:tc>
        <w:tc>
          <w:tcPr>
            <w:tcW w:w="8932"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Vivo Opportunity Fund Holdings, L.P.: 4.0% Vivo Opportunity, LLC: 4.0% Vivo Opportunity Cayman Fund, L.P.: 0.3% Vivo Opportunity Cayman, LLC.: 0.3 %  % </w:t>
            </w:r>
          </w:p>
        </w:tc>
        <w:tc>
          <w:tcPr>
            <w:tcW w:w="155" w:type="dxa"/>
            <w:tcBorders/>
          </w:tcPr>
          <w:p>
            <w:pPr>
              <w:pStyle w:val="TableContents"/>
              <w:bidi w:val="0"/>
              <w:spacing w:before="0" w:after="283"/>
              <w:jc w:val="left"/>
              <w:rPr>
                <w:sz w:val="4"/>
                <w:szCs w:val="4"/>
              </w:rPr>
            </w:pPr>
            <w:r>
              <w:rPr>
                <w:sz w:val="4"/>
                <w:szCs w:val="4"/>
              </w:rPr>
            </w:r>
          </w:p>
        </w:tc>
      </w:tr>
      <w:tr>
        <w:trPr/>
        <w:tc>
          <w:tcPr>
            <w:tcW w:w="1118" w:type="dxa"/>
            <w:tcBorders/>
            <w:vAlign w:val="center"/>
          </w:tcPr>
          <w:p>
            <w:pPr>
              <w:pStyle w:val="TableContents"/>
              <w:bidi w:val="0"/>
              <w:spacing w:before="0" w:after="283"/>
              <w:jc w:val="left"/>
              <w:rPr/>
            </w:pPr>
            <w:r>
              <w:rPr/>
              <w:t>(c)</w:t>
            </w:r>
          </w:p>
        </w:tc>
        <w:tc>
          <w:tcPr>
            <w:tcW w:w="8932"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18" w:type="dxa"/>
            <w:tcBorders/>
            <w:vAlign w:val="center"/>
          </w:tcPr>
          <w:p>
            <w:pPr>
              <w:pStyle w:val="TableContents"/>
              <w:bidi w:val="0"/>
              <w:spacing w:before="0" w:after="283"/>
              <w:jc w:val="left"/>
              <w:rPr/>
            </w:pPr>
            <w:r>
              <w:rPr/>
              <w:t> </w:t>
            </w:r>
          </w:p>
        </w:tc>
        <w:tc>
          <w:tcPr>
            <w:tcW w:w="8932"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Vivo Opportunity Fund Holdings, L.P.: 7,207,573 shares Vivo Opportunity, LLC: 7,207,573 shares Vivo Opportunity Cayman Fund, L.P.: 549,487 shares Vivo Opportunity Cayman, LLC: 549,487 shares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8" w:type="dxa"/>
            <w:tcBorders/>
            <w:vAlign w:val="center"/>
          </w:tcPr>
          <w:p>
            <w:pPr>
              <w:pStyle w:val="TableContents"/>
              <w:bidi w:val="0"/>
              <w:spacing w:before="0" w:after="283"/>
              <w:jc w:val="left"/>
              <w:rPr/>
            </w:pPr>
            <w:r>
              <w:rPr/>
              <w:t> </w:t>
            </w:r>
          </w:p>
        </w:tc>
        <w:tc>
          <w:tcPr>
            <w:tcW w:w="8932"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8" w:type="dxa"/>
            <w:tcBorders/>
            <w:vAlign w:val="center"/>
          </w:tcPr>
          <w:p>
            <w:pPr>
              <w:pStyle w:val="TableContents"/>
              <w:bidi w:val="0"/>
              <w:spacing w:before="0" w:after="283"/>
              <w:jc w:val="left"/>
              <w:rPr/>
            </w:pPr>
            <w:r>
              <w:rPr/>
              <w:t> </w:t>
            </w:r>
          </w:p>
        </w:tc>
        <w:tc>
          <w:tcPr>
            <w:tcW w:w="8932"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Vivo Opportunity Fund Holdings, L.P.: 7,207,573 shares Vivo Opportunity, LLC: 7,207,573 shares Vivo Opportunity Cayman Fund, L.P.: 549,487 shares Vivo Opportunity Cayman, LLC: 549,487 shares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8" w:type="dxa"/>
            <w:tcBorders/>
            <w:vAlign w:val="center"/>
          </w:tcPr>
          <w:p>
            <w:pPr>
              <w:pStyle w:val="TableContents"/>
              <w:bidi w:val="0"/>
              <w:spacing w:before="0" w:after="283"/>
              <w:jc w:val="left"/>
              <w:rPr/>
            </w:pPr>
            <w:r>
              <w:rPr/>
              <w:t> </w:t>
            </w:r>
          </w:p>
        </w:tc>
        <w:tc>
          <w:tcPr>
            <w:tcW w:w="8932"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8" w:type="dxa"/>
            <w:tcBorders/>
            <w:vAlign w:val="center"/>
          </w:tcPr>
          <w:p>
            <w:pPr>
              <w:pStyle w:val="TableContents"/>
              <w:bidi w:val="0"/>
              <w:spacing w:before="0" w:after="283"/>
              <w:jc w:val="left"/>
              <w:rPr/>
            </w:pPr>
            <w:r>
              <w:rPr/>
              <w:t>Item 5.</w:t>
            </w:r>
          </w:p>
        </w:tc>
        <w:tc>
          <w:tcPr>
            <w:tcW w:w="8932"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18" w:type="dxa"/>
            <w:tcBorders/>
            <w:vAlign w:val="center"/>
          </w:tcPr>
          <w:p>
            <w:pPr>
              <w:pStyle w:val="TableContents"/>
              <w:bidi w:val="0"/>
              <w:spacing w:before="0" w:after="283"/>
              <w:jc w:val="left"/>
              <w:rPr/>
            </w:pPr>
            <w:r>
              <w:rPr/>
              <w:t> </w:t>
            </w:r>
          </w:p>
        </w:tc>
        <w:tc>
          <w:tcPr>
            <w:tcW w:w="8932" w:type="dxa"/>
            <w:tcBorders/>
            <w:vAlign w:val="center"/>
          </w:tcPr>
          <w:p>
            <w:pPr>
              <w:pStyle w:val="TableContents"/>
              <w:bidi w:val="0"/>
              <w:spacing w:before="0" w:after="0"/>
              <w:jc w:val="left"/>
              <w:rPr/>
            </w:pP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118" w:type="dxa"/>
            <w:tcBorders/>
            <w:vAlign w:val="center"/>
          </w:tcPr>
          <w:p>
            <w:pPr>
              <w:pStyle w:val="TableContents"/>
              <w:bidi w:val="0"/>
              <w:spacing w:before="0" w:after="283"/>
              <w:jc w:val="left"/>
              <w:rPr/>
            </w:pPr>
            <w:r>
              <w:rPr/>
              <w:t>Item 6.</w:t>
            </w:r>
          </w:p>
        </w:tc>
        <w:tc>
          <w:tcPr>
            <w:tcW w:w="8932"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18" w:type="dxa"/>
            <w:tcBorders/>
            <w:vAlign w:val="center"/>
          </w:tcPr>
          <w:p>
            <w:pPr>
              <w:pStyle w:val="TableContents"/>
              <w:bidi w:val="0"/>
              <w:spacing w:before="0" w:after="283"/>
              <w:jc w:val="left"/>
              <w:rPr/>
            </w:pPr>
            <w:r>
              <w:rPr/>
              <w:t> </w:t>
            </w:r>
          </w:p>
        </w:tc>
        <w:tc>
          <w:tcPr>
            <w:tcW w:w="8932"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18" w:type="dxa"/>
            <w:tcBorders/>
            <w:vAlign w:val="center"/>
          </w:tcPr>
          <w:p>
            <w:pPr>
              <w:pStyle w:val="TableContents"/>
              <w:bidi w:val="0"/>
              <w:spacing w:before="0" w:after="283"/>
              <w:jc w:val="left"/>
              <w:rPr/>
            </w:pPr>
            <w:r>
              <w:rPr/>
              <w:t>Item 7.</w:t>
            </w:r>
          </w:p>
        </w:tc>
        <w:tc>
          <w:tcPr>
            <w:tcW w:w="8932"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18" w:type="dxa"/>
            <w:tcBorders/>
            <w:vAlign w:val="center"/>
          </w:tcPr>
          <w:p>
            <w:pPr>
              <w:pStyle w:val="TableContents"/>
              <w:bidi w:val="0"/>
              <w:spacing w:before="0" w:after="283"/>
              <w:jc w:val="left"/>
              <w:rPr/>
            </w:pPr>
            <w:r>
              <w:rPr/>
              <w:t> </w:t>
            </w:r>
          </w:p>
        </w:tc>
        <w:tc>
          <w:tcPr>
            <w:tcW w:w="8932"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18" w:type="dxa"/>
            <w:tcBorders/>
            <w:vAlign w:val="center"/>
          </w:tcPr>
          <w:p>
            <w:pPr>
              <w:pStyle w:val="TableContents"/>
              <w:bidi w:val="0"/>
              <w:spacing w:before="0" w:after="283"/>
              <w:jc w:val="left"/>
              <w:rPr/>
            </w:pPr>
            <w:r>
              <w:rPr/>
              <w:t>Item 8.</w:t>
            </w:r>
          </w:p>
        </w:tc>
        <w:tc>
          <w:tcPr>
            <w:tcW w:w="8932"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18" w:type="dxa"/>
            <w:tcBorders/>
            <w:vAlign w:val="center"/>
          </w:tcPr>
          <w:p>
            <w:pPr>
              <w:pStyle w:val="TableContents"/>
              <w:bidi w:val="0"/>
              <w:spacing w:before="0" w:after="283"/>
              <w:jc w:val="left"/>
              <w:rPr/>
            </w:pPr>
            <w:r>
              <w:rPr/>
              <w:t> </w:t>
            </w:r>
          </w:p>
        </w:tc>
        <w:tc>
          <w:tcPr>
            <w:tcW w:w="8932"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18" w:type="dxa"/>
            <w:tcBorders/>
            <w:vAlign w:val="center"/>
          </w:tcPr>
          <w:p>
            <w:pPr>
              <w:pStyle w:val="TableContents"/>
              <w:bidi w:val="0"/>
              <w:spacing w:before="0" w:after="283"/>
              <w:jc w:val="left"/>
              <w:rPr/>
            </w:pPr>
            <w:r>
              <w:rPr/>
              <w:t>Item 9.</w:t>
            </w:r>
          </w:p>
        </w:tc>
        <w:tc>
          <w:tcPr>
            <w:tcW w:w="8932"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18" w:type="dxa"/>
            <w:tcBorders/>
            <w:vAlign w:val="center"/>
          </w:tcPr>
          <w:p>
            <w:pPr>
              <w:pStyle w:val="TableContents"/>
              <w:bidi w:val="0"/>
              <w:spacing w:before="0" w:after="283"/>
              <w:jc w:val="left"/>
              <w:rPr/>
            </w:pPr>
            <w:r>
              <w:rPr/>
              <w:t> </w:t>
            </w:r>
          </w:p>
        </w:tc>
        <w:tc>
          <w:tcPr>
            <w:tcW w:w="8932"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4" w:name="certifications"/>
      <w:bookmarkStart w:id="25" w:name="certifications"/>
      <w:bookmarkEnd w:id="25"/>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6" w:name="signatureInfo"/>
      <w:bookmarkStart w:id="27" w:name="signatureInfo"/>
      <w:bookmarkEnd w:id="27"/>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8090" w:type="dxa"/>
        <w:jc w:val="left"/>
        <w:tblInd w:w="0" w:type="dxa"/>
        <w:tblLayout w:type="fixed"/>
        <w:tblCellMar>
          <w:top w:w="28" w:type="dxa"/>
          <w:left w:w="28" w:type="dxa"/>
          <w:bottom w:w="28" w:type="dxa"/>
          <w:right w:w="28" w:type="dxa"/>
        </w:tblCellMar>
      </w:tblPr>
      <w:tblGrid>
        <w:gridCol w:w="4045"/>
        <w:gridCol w:w="4045"/>
      </w:tblGrid>
      <w:tr>
        <w:trPr/>
        <w:tc>
          <w:tcPr>
            <w:tcW w:w="4045" w:type="dxa"/>
            <w:tcBorders/>
            <w:vAlign w:val="center"/>
          </w:tcPr>
          <w:p>
            <w:pPr>
              <w:pStyle w:val="TableContents"/>
              <w:bidi w:val="0"/>
              <w:spacing w:before="0" w:after="0"/>
              <w:jc w:val="left"/>
              <w:rPr/>
            </w:pPr>
            <w:r>
              <w:rPr/>
              <w:t> </w:t>
            </w:r>
          </w:p>
          <w:tbl>
            <w:tblPr>
              <w:tblW w:w="3871" w:type="dxa"/>
              <w:jc w:val="left"/>
              <w:tblInd w:w="0" w:type="dxa"/>
              <w:tblLayout w:type="fixed"/>
              <w:tblCellMar>
                <w:top w:w="28" w:type="dxa"/>
                <w:left w:w="28" w:type="dxa"/>
                <w:bottom w:w="28" w:type="dxa"/>
                <w:right w:w="28" w:type="dxa"/>
              </w:tblCellMar>
            </w:tblPr>
            <w:tblGrid>
              <w:gridCol w:w="3871"/>
            </w:tblGrid>
            <w:tr>
              <w:trPr/>
              <w:tc>
                <w:tcPr>
                  <w:tcW w:w="3871" w:type="dxa"/>
                  <w:tcBorders/>
                  <w:vAlign w:val="center"/>
                </w:tcPr>
                <w:p>
                  <w:pPr>
                    <w:pStyle w:val="TableContents"/>
                    <w:bidi w:val="0"/>
                    <w:spacing w:before="0" w:after="0"/>
                    <w:jc w:val="left"/>
                    <w:rPr/>
                  </w:pPr>
                  <w:r>
                    <w:rPr/>
                    <w:t>Vivo Opportunity Fund Holdings, L.P.</w:t>
                  </w:r>
                </w:p>
              </w:tc>
            </w:tr>
          </w:tbl>
          <w:p>
            <w:pPr>
              <w:pStyle w:val="TableContents"/>
              <w:bidi w:val="0"/>
              <w:spacing w:before="0" w:after="283"/>
              <w:jc w:val="left"/>
              <w:rPr/>
            </w:pPr>
            <w:r>
              <w:rPr/>
            </w:r>
          </w:p>
        </w:tc>
        <w:tc>
          <w:tcPr>
            <w:tcW w:w="404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67"/>
        <w:gridCol w:w="4238"/>
      </w:tblGrid>
      <w:tr>
        <w:trPr/>
        <w:tc>
          <w:tcPr>
            <w:tcW w:w="596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/s/ Kevin Dai</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Kevin Dai/Managing Member of Vivo Opportunity, LLC, General Partner</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38" w:type="dxa"/>
            <w:tcBorders/>
            <w:vAlign w:val="center"/>
          </w:tcPr>
          <w:p>
            <w:pPr>
              <w:pStyle w:val="TableContents"/>
              <w:bidi w:val="0"/>
              <w:spacing w:before="0" w:after="283"/>
              <w:jc w:val="left"/>
              <w:rPr>
                <w:sz w:val="4"/>
                <w:szCs w:val="4"/>
              </w:rPr>
            </w:pPr>
            <w:r>
              <w:rPr>
                <w:sz w:val="4"/>
                <w:szCs w:val="4"/>
              </w:rPr>
            </w:r>
          </w:p>
        </w:tc>
      </w:tr>
    </w:tbl>
    <w:tbl>
      <w:tblPr>
        <w:tblW w:w="5096" w:type="dxa"/>
        <w:jc w:val="left"/>
        <w:tblInd w:w="0" w:type="dxa"/>
        <w:tblLayout w:type="fixed"/>
        <w:tblCellMar>
          <w:top w:w="28" w:type="dxa"/>
          <w:left w:w="28" w:type="dxa"/>
          <w:bottom w:w="28" w:type="dxa"/>
          <w:right w:w="28" w:type="dxa"/>
        </w:tblCellMar>
      </w:tblPr>
      <w:tblGrid>
        <w:gridCol w:w="2548"/>
        <w:gridCol w:w="2548"/>
      </w:tblGrid>
      <w:tr>
        <w:trPr/>
        <w:tc>
          <w:tcPr>
            <w:tcW w:w="2548" w:type="dxa"/>
            <w:tcBorders/>
            <w:vAlign w:val="center"/>
          </w:tcPr>
          <w:p>
            <w:pPr>
              <w:pStyle w:val="TableContents"/>
              <w:bidi w:val="0"/>
              <w:spacing w:before="0" w:after="0"/>
              <w:jc w:val="left"/>
              <w:rPr/>
            </w:pPr>
            <w:r>
              <w:rPr/>
              <w:t> </w:t>
            </w:r>
          </w:p>
          <w:tbl>
            <w:tblPr>
              <w:tblW w:w="2446" w:type="dxa"/>
              <w:jc w:val="left"/>
              <w:tblInd w:w="0" w:type="dxa"/>
              <w:tblLayout w:type="fixed"/>
              <w:tblCellMar>
                <w:top w:w="28" w:type="dxa"/>
                <w:left w:w="28" w:type="dxa"/>
                <w:bottom w:w="28" w:type="dxa"/>
                <w:right w:w="28" w:type="dxa"/>
              </w:tblCellMar>
            </w:tblPr>
            <w:tblGrid>
              <w:gridCol w:w="2446"/>
            </w:tblGrid>
            <w:tr>
              <w:trPr/>
              <w:tc>
                <w:tcPr>
                  <w:tcW w:w="2446" w:type="dxa"/>
                  <w:tcBorders/>
                  <w:vAlign w:val="center"/>
                </w:tcPr>
                <w:p>
                  <w:pPr>
                    <w:pStyle w:val="TableContents"/>
                    <w:bidi w:val="0"/>
                    <w:spacing w:before="0" w:after="0"/>
                    <w:jc w:val="left"/>
                    <w:rPr/>
                  </w:pPr>
                  <w:r>
                    <w:rPr/>
                    <w:t>Vivo Opportunity, LLC</w:t>
                  </w:r>
                </w:p>
              </w:tc>
            </w:tr>
          </w:tbl>
          <w:p>
            <w:pPr>
              <w:pStyle w:val="TableContents"/>
              <w:bidi w:val="0"/>
              <w:spacing w:before="0" w:after="283"/>
              <w:jc w:val="left"/>
              <w:rPr/>
            </w:pPr>
            <w:r>
              <w:rPr/>
            </w:r>
          </w:p>
        </w:tc>
        <w:tc>
          <w:tcPr>
            <w:tcW w:w="254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8"/>
        <w:gridCol w:w="4337"/>
      </w:tblGrid>
      <w:tr>
        <w:trPr/>
        <w:tc>
          <w:tcPr>
            <w:tcW w:w="586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3"/>
              <w:gridCol w:w="9042"/>
            </w:tblGrid>
            <w:tr>
              <w:trPr/>
              <w:tc>
                <w:tcPr>
                  <w:tcW w:w="1163" w:type="dxa"/>
                  <w:tcBorders/>
                  <w:vAlign w:val="center"/>
                </w:tcPr>
                <w:p>
                  <w:pPr>
                    <w:pStyle w:val="TableContents"/>
                    <w:bidi w:val="0"/>
                    <w:spacing w:before="0" w:after="283"/>
                    <w:jc w:val="left"/>
                    <w:rPr/>
                  </w:pPr>
                  <w:r>
                    <w:rPr/>
                    <w:t>Signature:</w:t>
                  </w:r>
                </w:p>
              </w:tc>
              <w:tc>
                <w:tcPr>
                  <w:tcW w:w="9042" w:type="dxa"/>
                  <w:tcBorders/>
                  <w:vAlign w:val="center"/>
                </w:tcPr>
                <w:p>
                  <w:pPr>
                    <w:pStyle w:val="TableContents"/>
                    <w:bidi w:val="0"/>
                    <w:spacing w:before="0" w:after="283"/>
                    <w:jc w:val="left"/>
                    <w:rPr/>
                  </w:pPr>
                  <w:r>
                    <w:rPr/>
                    <w:t>/s/ Kevin Dai</w:t>
                  </w:r>
                </w:p>
              </w:tc>
            </w:tr>
            <w:tr>
              <w:trPr/>
              <w:tc>
                <w:tcPr>
                  <w:tcW w:w="1163" w:type="dxa"/>
                  <w:tcBorders/>
                  <w:vAlign w:val="center"/>
                </w:tcPr>
                <w:p>
                  <w:pPr>
                    <w:pStyle w:val="TableContents"/>
                    <w:bidi w:val="0"/>
                    <w:spacing w:before="0" w:after="283"/>
                    <w:jc w:val="left"/>
                    <w:rPr/>
                  </w:pPr>
                  <w:r>
                    <w:rPr/>
                    <w:t>Name/Title:</w:t>
                  </w:r>
                </w:p>
              </w:tc>
              <w:tc>
                <w:tcPr>
                  <w:tcW w:w="9042" w:type="dxa"/>
                  <w:tcBorders/>
                  <w:vAlign w:val="center"/>
                </w:tcPr>
                <w:p>
                  <w:pPr>
                    <w:pStyle w:val="TableContents"/>
                    <w:bidi w:val="0"/>
                    <w:spacing w:before="0" w:after="283"/>
                    <w:jc w:val="left"/>
                    <w:rPr/>
                  </w:pPr>
                  <w:r>
                    <w:rPr/>
                    <w:t>Kevin Dai/Managing Member</w:t>
                  </w:r>
                </w:p>
              </w:tc>
            </w:tr>
            <w:tr>
              <w:trPr/>
              <w:tc>
                <w:tcPr>
                  <w:tcW w:w="1163" w:type="dxa"/>
                  <w:tcBorders/>
                  <w:vAlign w:val="center"/>
                </w:tcPr>
                <w:p>
                  <w:pPr>
                    <w:pStyle w:val="TableContents"/>
                    <w:bidi w:val="0"/>
                    <w:spacing w:before="0" w:after="283"/>
                    <w:jc w:val="left"/>
                    <w:rPr/>
                  </w:pPr>
                  <w:r>
                    <w:rPr/>
                    <w:t>Date:</w:t>
                  </w:r>
                </w:p>
              </w:tc>
              <w:tc>
                <w:tcPr>
                  <w:tcW w:w="9042"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37" w:type="dxa"/>
            <w:tcBorders/>
            <w:vAlign w:val="center"/>
          </w:tcPr>
          <w:p>
            <w:pPr>
              <w:pStyle w:val="TableContents"/>
              <w:bidi w:val="0"/>
              <w:spacing w:before="0" w:after="283"/>
              <w:jc w:val="left"/>
              <w:rPr>
                <w:sz w:val="4"/>
                <w:szCs w:val="4"/>
              </w:rPr>
            </w:pPr>
            <w:r>
              <w:rPr>
                <w:sz w:val="4"/>
                <w:szCs w:val="4"/>
              </w:rPr>
            </w:r>
          </w:p>
        </w:tc>
      </w:tr>
    </w:tbl>
    <w:tbl>
      <w:tblPr>
        <w:tblW w:w="7942" w:type="dxa"/>
        <w:jc w:val="left"/>
        <w:tblInd w:w="0" w:type="dxa"/>
        <w:tblLayout w:type="fixed"/>
        <w:tblCellMar>
          <w:top w:w="28" w:type="dxa"/>
          <w:left w:w="28" w:type="dxa"/>
          <w:bottom w:w="28" w:type="dxa"/>
          <w:right w:w="28" w:type="dxa"/>
        </w:tblCellMar>
      </w:tblPr>
      <w:tblGrid>
        <w:gridCol w:w="3971"/>
        <w:gridCol w:w="3971"/>
      </w:tblGrid>
      <w:tr>
        <w:trPr/>
        <w:tc>
          <w:tcPr>
            <w:tcW w:w="3971" w:type="dxa"/>
            <w:tcBorders/>
            <w:vAlign w:val="center"/>
          </w:tcPr>
          <w:p>
            <w:pPr>
              <w:pStyle w:val="TableContents"/>
              <w:bidi w:val="0"/>
              <w:spacing w:before="0" w:after="0"/>
              <w:jc w:val="left"/>
              <w:rPr/>
            </w:pPr>
            <w:r>
              <w:rPr/>
              <w:t> </w:t>
            </w:r>
          </w:p>
          <w:tbl>
            <w:tblPr>
              <w:tblW w:w="3796" w:type="dxa"/>
              <w:jc w:val="left"/>
              <w:tblInd w:w="0" w:type="dxa"/>
              <w:tblLayout w:type="fixed"/>
              <w:tblCellMar>
                <w:top w:w="28" w:type="dxa"/>
                <w:left w:w="28" w:type="dxa"/>
                <w:bottom w:w="28" w:type="dxa"/>
                <w:right w:w="28" w:type="dxa"/>
              </w:tblCellMar>
            </w:tblPr>
            <w:tblGrid>
              <w:gridCol w:w="3796"/>
            </w:tblGrid>
            <w:tr>
              <w:trPr/>
              <w:tc>
                <w:tcPr>
                  <w:tcW w:w="3796" w:type="dxa"/>
                  <w:tcBorders/>
                  <w:vAlign w:val="center"/>
                </w:tcPr>
                <w:p>
                  <w:pPr>
                    <w:pStyle w:val="TableContents"/>
                    <w:bidi w:val="0"/>
                    <w:spacing w:before="0" w:after="0"/>
                    <w:jc w:val="left"/>
                    <w:rPr/>
                  </w:pPr>
                  <w:r>
                    <w:rPr/>
                    <w:t>Vivo Opportunity Cayman Fund, L.P.</w:t>
                  </w:r>
                </w:p>
              </w:tc>
            </w:tr>
          </w:tbl>
          <w:p>
            <w:pPr>
              <w:pStyle w:val="TableContents"/>
              <w:bidi w:val="0"/>
              <w:spacing w:before="0" w:after="283"/>
              <w:jc w:val="left"/>
              <w:rPr/>
            </w:pPr>
            <w:r>
              <w:rPr/>
            </w:r>
          </w:p>
        </w:tc>
        <w:tc>
          <w:tcPr>
            <w:tcW w:w="397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45"/>
        <w:gridCol w:w="4260"/>
      </w:tblGrid>
      <w:tr>
        <w:trPr/>
        <w:tc>
          <w:tcPr>
            <w:tcW w:w="594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2"/>
              <w:gridCol w:w="9043"/>
            </w:tblGrid>
            <w:tr>
              <w:trPr/>
              <w:tc>
                <w:tcPr>
                  <w:tcW w:w="1162" w:type="dxa"/>
                  <w:tcBorders/>
                  <w:vAlign w:val="center"/>
                </w:tcPr>
                <w:p>
                  <w:pPr>
                    <w:pStyle w:val="TableContents"/>
                    <w:bidi w:val="0"/>
                    <w:spacing w:before="0" w:after="283"/>
                    <w:jc w:val="left"/>
                    <w:rPr/>
                  </w:pPr>
                  <w:r>
                    <w:rPr/>
                    <w:t>Signature:</w:t>
                  </w:r>
                </w:p>
              </w:tc>
              <w:tc>
                <w:tcPr>
                  <w:tcW w:w="9043" w:type="dxa"/>
                  <w:tcBorders/>
                  <w:vAlign w:val="center"/>
                </w:tcPr>
                <w:p>
                  <w:pPr>
                    <w:pStyle w:val="TableContents"/>
                    <w:bidi w:val="0"/>
                    <w:spacing w:before="0" w:after="283"/>
                    <w:jc w:val="left"/>
                    <w:rPr/>
                  </w:pPr>
                  <w:r>
                    <w:rPr/>
                    <w:t>/s/ Kevin Dai</w:t>
                  </w:r>
                </w:p>
              </w:tc>
            </w:tr>
            <w:tr>
              <w:trPr/>
              <w:tc>
                <w:tcPr>
                  <w:tcW w:w="1162" w:type="dxa"/>
                  <w:tcBorders/>
                  <w:vAlign w:val="center"/>
                </w:tcPr>
                <w:p>
                  <w:pPr>
                    <w:pStyle w:val="TableContents"/>
                    <w:bidi w:val="0"/>
                    <w:spacing w:before="0" w:after="283"/>
                    <w:jc w:val="left"/>
                    <w:rPr/>
                  </w:pPr>
                  <w:r>
                    <w:rPr/>
                    <w:t>Name/Title:</w:t>
                  </w:r>
                </w:p>
              </w:tc>
              <w:tc>
                <w:tcPr>
                  <w:tcW w:w="9043" w:type="dxa"/>
                  <w:tcBorders/>
                  <w:vAlign w:val="center"/>
                </w:tcPr>
                <w:p>
                  <w:pPr>
                    <w:pStyle w:val="TableContents"/>
                    <w:bidi w:val="0"/>
                    <w:spacing w:before="0" w:after="283"/>
                    <w:jc w:val="left"/>
                    <w:rPr/>
                  </w:pPr>
                  <w:r>
                    <w:rPr/>
                    <w:t>Kevin Dai/Managing Member of Vivo Opportunity Cayman, LLC, General Partner</w:t>
                  </w:r>
                </w:p>
              </w:tc>
            </w:tr>
            <w:tr>
              <w:trPr/>
              <w:tc>
                <w:tcPr>
                  <w:tcW w:w="1162" w:type="dxa"/>
                  <w:tcBorders/>
                  <w:vAlign w:val="center"/>
                </w:tcPr>
                <w:p>
                  <w:pPr>
                    <w:pStyle w:val="TableContents"/>
                    <w:bidi w:val="0"/>
                    <w:spacing w:before="0" w:after="283"/>
                    <w:jc w:val="left"/>
                    <w:rPr/>
                  </w:pPr>
                  <w:r>
                    <w:rPr/>
                    <w:t>Date:</w:t>
                  </w:r>
                </w:p>
              </w:tc>
              <w:tc>
                <w:tcPr>
                  <w:tcW w:w="9043"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60" w:type="dxa"/>
            <w:tcBorders/>
            <w:vAlign w:val="center"/>
          </w:tcPr>
          <w:p>
            <w:pPr>
              <w:pStyle w:val="TableContents"/>
              <w:bidi w:val="0"/>
              <w:spacing w:before="0" w:after="283"/>
              <w:jc w:val="left"/>
              <w:rPr>
                <w:sz w:val="4"/>
                <w:szCs w:val="4"/>
              </w:rPr>
            </w:pPr>
            <w:r>
              <w:rPr>
                <w:sz w:val="4"/>
                <w:szCs w:val="4"/>
              </w:rPr>
            </w:r>
          </w:p>
        </w:tc>
      </w:tr>
    </w:tbl>
    <w:tbl>
      <w:tblPr>
        <w:tblW w:w="6838" w:type="dxa"/>
        <w:jc w:val="left"/>
        <w:tblInd w:w="0" w:type="dxa"/>
        <w:tblLayout w:type="fixed"/>
        <w:tblCellMar>
          <w:top w:w="28" w:type="dxa"/>
          <w:left w:w="28" w:type="dxa"/>
          <w:bottom w:w="28" w:type="dxa"/>
          <w:right w:w="28" w:type="dxa"/>
        </w:tblCellMar>
      </w:tblPr>
      <w:tblGrid>
        <w:gridCol w:w="3419"/>
        <w:gridCol w:w="3419"/>
      </w:tblGrid>
      <w:tr>
        <w:trPr/>
        <w:tc>
          <w:tcPr>
            <w:tcW w:w="3419" w:type="dxa"/>
            <w:tcBorders/>
            <w:vAlign w:val="center"/>
          </w:tcPr>
          <w:p>
            <w:pPr>
              <w:pStyle w:val="TableContents"/>
              <w:bidi w:val="0"/>
              <w:spacing w:before="0" w:after="0"/>
              <w:jc w:val="left"/>
              <w:rPr/>
            </w:pPr>
            <w:r>
              <w:rPr/>
              <w:t> </w:t>
            </w:r>
          </w:p>
          <w:tbl>
            <w:tblPr>
              <w:tblW w:w="3301" w:type="dxa"/>
              <w:jc w:val="left"/>
              <w:tblInd w:w="0" w:type="dxa"/>
              <w:tblLayout w:type="fixed"/>
              <w:tblCellMar>
                <w:top w:w="28" w:type="dxa"/>
                <w:left w:w="28" w:type="dxa"/>
                <w:bottom w:w="28" w:type="dxa"/>
                <w:right w:w="28" w:type="dxa"/>
              </w:tblCellMar>
            </w:tblPr>
            <w:tblGrid>
              <w:gridCol w:w="3301"/>
            </w:tblGrid>
            <w:tr>
              <w:trPr/>
              <w:tc>
                <w:tcPr>
                  <w:tcW w:w="3301" w:type="dxa"/>
                  <w:tcBorders/>
                  <w:vAlign w:val="center"/>
                </w:tcPr>
                <w:p>
                  <w:pPr>
                    <w:pStyle w:val="TableContents"/>
                    <w:bidi w:val="0"/>
                    <w:spacing w:before="0" w:after="0"/>
                    <w:jc w:val="left"/>
                    <w:rPr/>
                  </w:pPr>
                  <w:r>
                    <w:rPr/>
                    <w:t>Vivo Opportunity Cayman, LLC</w:t>
                  </w:r>
                </w:p>
              </w:tc>
            </w:tr>
          </w:tbl>
          <w:p>
            <w:pPr>
              <w:pStyle w:val="TableContents"/>
              <w:bidi w:val="0"/>
              <w:spacing w:before="0" w:after="283"/>
              <w:jc w:val="left"/>
              <w:rPr/>
            </w:pPr>
            <w:r>
              <w:rPr/>
            </w:r>
          </w:p>
        </w:tc>
        <w:tc>
          <w:tcPr>
            <w:tcW w:w="341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8"/>
        <w:gridCol w:w="4337"/>
      </w:tblGrid>
      <w:tr>
        <w:trPr/>
        <w:tc>
          <w:tcPr>
            <w:tcW w:w="586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3"/>
              <w:gridCol w:w="9042"/>
            </w:tblGrid>
            <w:tr>
              <w:trPr/>
              <w:tc>
                <w:tcPr>
                  <w:tcW w:w="1163" w:type="dxa"/>
                  <w:tcBorders/>
                  <w:vAlign w:val="center"/>
                </w:tcPr>
                <w:p>
                  <w:pPr>
                    <w:pStyle w:val="TableContents"/>
                    <w:bidi w:val="0"/>
                    <w:spacing w:before="0" w:after="283"/>
                    <w:jc w:val="left"/>
                    <w:rPr/>
                  </w:pPr>
                  <w:r>
                    <w:rPr/>
                    <w:t>Signature:</w:t>
                  </w:r>
                </w:p>
              </w:tc>
              <w:tc>
                <w:tcPr>
                  <w:tcW w:w="9042" w:type="dxa"/>
                  <w:tcBorders/>
                  <w:vAlign w:val="center"/>
                </w:tcPr>
                <w:p>
                  <w:pPr>
                    <w:pStyle w:val="TableContents"/>
                    <w:bidi w:val="0"/>
                    <w:spacing w:before="0" w:after="283"/>
                    <w:jc w:val="left"/>
                    <w:rPr/>
                  </w:pPr>
                  <w:r>
                    <w:rPr/>
                    <w:t>/s/ Kevin Dai</w:t>
                  </w:r>
                </w:p>
              </w:tc>
            </w:tr>
            <w:tr>
              <w:trPr/>
              <w:tc>
                <w:tcPr>
                  <w:tcW w:w="1163" w:type="dxa"/>
                  <w:tcBorders/>
                  <w:vAlign w:val="center"/>
                </w:tcPr>
                <w:p>
                  <w:pPr>
                    <w:pStyle w:val="TableContents"/>
                    <w:bidi w:val="0"/>
                    <w:spacing w:before="0" w:after="283"/>
                    <w:jc w:val="left"/>
                    <w:rPr/>
                  </w:pPr>
                  <w:r>
                    <w:rPr/>
                    <w:t>Name/Title:</w:t>
                  </w:r>
                </w:p>
              </w:tc>
              <w:tc>
                <w:tcPr>
                  <w:tcW w:w="9042" w:type="dxa"/>
                  <w:tcBorders/>
                  <w:vAlign w:val="center"/>
                </w:tcPr>
                <w:p>
                  <w:pPr>
                    <w:pStyle w:val="TableContents"/>
                    <w:bidi w:val="0"/>
                    <w:spacing w:before="0" w:after="283"/>
                    <w:jc w:val="left"/>
                    <w:rPr/>
                  </w:pPr>
                  <w:r>
                    <w:rPr/>
                    <w:t>Kevin Dai/Managing Member</w:t>
                  </w:r>
                </w:p>
              </w:tc>
            </w:tr>
            <w:tr>
              <w:trPr/>
              <w:tc>
                <w:tcPr>
                  <w:tcW w:w="1163" w:type="dxa"/>
                  <w:tcBorders/>
                  <w:vAlign w:val="center"/>
                </w:tcPr>
                <w:p>
                  <w:pPr>
                    <w:pStyle w:val="TableContents"/>
                    <w:bidi w:val="0"/>
                    <w:spacing w:before="0" w:after="283"/>
                    <w:jc w:val="left"/>
                    <w:rPr/>
                  </w:pPr>
                  <w:r>
                    <w:rPr/>
                    <w:t>Date:</w:t>
                  </w:r>
                </w:p>
              </w:tc>
              <w:tc>
                <w:tcPr>
                  <w:tcW w:w="9042"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37"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checked.jpg" TargetMode="External"/><Relationship Id="rId29" Type="http://schemas.openxmlformats.org/officeDocument/2006/relationships/fontTable" Target="fontTable.xml"/><Relationship Id="rId3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1643</Words>
  <Characters>8634</Characters>
  <CharactersWithSpaces>10212</CharactersWithSpaces>
  <Paragraphs>304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