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177165</wp:posOffset>
            </wp:positionV>
            <wp:extent cx="7200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191135</wp:posOffset>
            </wp:positionV>
            <wp:extent cx="7200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198755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COMPASS THERAPEUTICS,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177165</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4"/>
          <w:szCs w:val="24"/>
          <w:color w:val="auto"/>
        </w:rPr>
      </w:pPr>
    </w:p>
    <w:p>
      <w:pPr>
        <w:spacing w:after="0" w:line="35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4"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001-39696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4"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82-4876496</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22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 Guest Street, Suite 601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02135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500-8099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225" w:right="339" w:bottom="1440" w:gutter="0" w:footer="0" w:header="0"/>
          <w:type w:val="continuous"/>
        </w:sectPr>
      </w:pP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188595</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60" w:firstLine="8"/>
        <w:spacing w:after="0" w:line="500" w:lineRule="auto"/>
        <w:tabs>
          <w:tab w:leader="none" w:pos="22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18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CMPX</w:t>
            </w:r>
          </w:p>
        </w:tc>
        <w:tc>
          <w:tcPr>
            <w:tcW w:w="41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10, 2026 Compass Therapeutics, Inc. (the “Company”) held its Annual Meeting of Stockholders. The final results for each of the matters submitted to a vote of stockholders at the meeting are set forth below. A more detailed description of each proposal is set forth in the Company’s definitive proxy statement on Form DEF 14A, filed with the U.S. Securities and Exchange Commission on April 29, 2026.</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No. 1. Election of Directors. </w:t>
      </w:r>
      <w:r>
        <w:rPr>
          <w:rFonts w:ascii="Times New Roman" w:cs="Times New Roman" w:eastAsia="Times New Roman" w:hAnsi="Times New Roman"/>
          <w:sz w:val="18"/>
          <w:szCs w:val="18"/>
          <w:color w:val="auto"/>
        </w:rPr>
        <w:t>The stockholders elected the two Class III nominees for director to serve until the Company’s 2029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Stockholders and until their respective successors are duly elected and qualified, by the votes set forth in the table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9"/>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J. Schuetz, M.D., Ph.D.</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102,984,184</w:t>
            </w:r>
          </w:p>
        </w:tc>
        <w:tc>
          <w:tcPr>
            <w:tcW w:w="2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18,837,499</w:t>
            </w:r>
          </w:p>
        </w:tc>
        <w:tc>
          <w:tcPr>
            <w:tcW w:w="2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21,320,318</w:t>
            </w: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S. Lindahl, M.B.A.</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103,453,540</w:t>
            </w:r>
          </w:p>
        </w:tc>
        <w:tc>
          <w:tcPr>
            <w:tcW w:w="22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18,368,143</w:t>
            </w:r>
          </w:p>
        </w:tc>
        <w:tc>
          <w:tcPr>
            <w:tcW w:w="2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21,320,318</w:t>
            </w:r>
          </w:p>
        </w:tc>
      </w:tr>
    </w:tbl>
    <w:p>
      <w:pPr>
        <w:spacing w:after="0" w:line="3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No. 2. Ratification of Appointment of Independent Registered Public Accounting Firm. </w:t>
      </w:r>
      <w:r>
        <w:rPr>
          <w:rFonts w:ascii="Times New Roman" w:cs="Times New Roman" w:eastAsia="Times New Roman" w:hAnsi="Times New Roman"/>
          <w:sz w:val="18"/>
          <w:szCs w:val="18"/>
          <w:color w:val="auto"/>
        </w:rPr>
        <w:t>The stockholders ratified the appointment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CohnReznick, LLP as the Company’s independent registered public accounting firm for the year ending December 31, 2026, by the votes set forth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9"/>
        </w:trPr>
        <w:tc>
          <w:tcPr>
            <w:tcW w:w="27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137,896,097</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181,037</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5,064,867</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No. 3. Non-binding, Advisory Vote on the Compensation of our Named Executive Officers. </w:t>
      </w:r>
      <w:r>
        <w:rPr>
          <w:rFonts w:ascii="Times New Roman" w:cs="Times New Roman" w:eastAsia="Times New Roman" w:hAnsi="Times New Roman"/>
          <w:sz w:val="18"/>
          <w:szCs w:val="18"/>
          <w:color w:val="auto"/>
        </w:rPr>
        <w:t>The stockholders voted to approve, on a non-binding, advisory basis, the compensation of the Company’s named executive officers, by the votes set forth in the table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0"/>
        </w:trPr>
        <w:tc>
          <w:tcPr>
            <w:tcW w:w="27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117,963,684</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1,796,022</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2,061,977</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21,320,318</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4. Non-binding, Advisory Vote on the Holding of the Future Advisory Votes on the Compensation of our Named Executive Officers.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voted, on a non-binding, advisory basis, to hold such advisory votes annually, by the votes set forth in the table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Every Year</w:t>
            </w: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Every Two Years</w:t>
            </w:r>
          </w:p>
        </w:tc>
        <w:tc>
          <w:tcPr>
            <w:tcW w:w="28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Every Three Years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0"/>
        </w:trPr>
        <w:tc>
          <w:tcPr>
            <w:tcW w:w="27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118,289,260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811,275</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1,491,631</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1,229,517</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voting results at the Annual Meeting, and consistent with the recommendation of the board of directors as set forth in our proxy statement for the Annual Meeting, the board of directors has determined to provide for a stockholder advisory vote on executive compensation on an annual basis; provided that, in the future, the board of directors may determine whether a different frequency for such advisory votes is in the best interests of the Company’s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920" w:type="dxa"/>
            <w:vAlign w:val="bottom"/>
            <w:gridSpan w:val="2"/>
          </w:tcPr>
          <w:p>
            <w:pPr>
              <w:ind w:left="2320"/>
              <w:spacing w:after="0"/>
              <w:rPr>
                <w:sz w:val="20"/>
                <w:szCs w:val="20"/>
                <w:color w:val="auto"/>
              </w:rPr>
            </w:pPr>
            <w:r>
              <w:rPr>
                <w:rFonts w:ascii="Times New Roman" w:cs="Times New Roman" w:eastAsia="Times New Roman" w:hAnsi="Times New Roman"/>
                <w:sz w:val="18"/>
                <w:szCs w:val="18"/>
                <w:b w:val="1"/>
                <w:bCs w:val="1"/>
                <w:color w:val="auto"/>
              </w:rPr>
              <w:t>Compass Therapeutics, Inc.</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June 11, 2026</w:t>
            </w:r>
          </w:p>
        </w:tc>
        <w:tc>
          <w:tcPr>
            <w:tcW w:w="792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By: /s/ NEIL LERNER</w:t>
            </w:r>
          </w:p>
        </w:tc>
      </w:tr>
      <w:tr>
        <w:trPr>
          <w:trHeight w:val="191"/>
        </w:trPr>
        <w:tc>
          <w:tcPr>
            <w:tcW w:w="33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Neil Lerner</w:t>
            </w:r>
          </w:p>
        </w:tc>
      </w:tr>
      <w:tr>
        <w:trPr>
          <w:trHeight w:val="234"/>
        </w:trPr>
        <w:tc>
          <w:tcPr>
            <w:tcW w:w="3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2026-06-11T15:04:28Z</dcterms:created>
  <dcterms:modified xsi:type="dcterms:W3CDTF">2026-06-11T15:04:28Z</dcterms:modified>
</cp:coreProperties>
</file>